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AA478" w14:textId="77777777" w:rsidR="001E38BF" w:rsidRPr="00431A61" w:rsidRDefault="001E38BF" w:rsidP="00431A61">
      <w:pPr>
        <w:spacing w:after="0" w:line="276" w:lineRule="auto"/>
        <w:contextualSpacing/>
        <w:textAlignment w:val="baseline"/>
        <w:rPr>
          <w:rFonts w:asciiTheme="minorHAnsi" w:eastAsia="Calibri" w:hAnsiTheme="minorHAnsi" w:cstheme="minorHAnsi"/>
          <w:color w:val="000000"/>
          <w:sz w:val="20"/>
          <w:szCs w:val="20"/>
        </w:rPr>
      </w:pPr>
      <w:bookmarkStart w:id="0" w:name="_GoBack"/>
      <w:bookmarkEnd w:id="0"/>
    </w:p>
    <w:p w14:paraId="10345761" w14:textId="77777777" w:rsidR="001E38BF" w:rsidRPr="00431A61" w:rsidRDefault="001E38BF" w:rsidP="00431A61">
      <w:pPr>
        <w:spacing w:after="0" w:line="276" w:lineRule="auto"/>
        <w:ind w:right="144"/>
        <w:textAlignment w:val="baseline"/>
        <w:rPr>
          <w:rFonts w:asciiTheme="minorHAnsi" w:hAnsiTheme="minorHAnsi" w:cstheme="minorHAnsi"/>
          <w:b/>
          <w:color w:val="000000"/>
          <w:sz w:val="20"/>
          <w:szCs w:val="20"/>
        </w:rPr>
      </w:pPr>
      <w:r w:rsidRPr="00431A61">
        <w:rPr>
          <w:rFonts w:asciiTheme="minorHAnsi" w:hAnsiTheme="minorHAnsi" w:cstheme="minorHAnsi"/>
          <w:b/>
          <w:color w:val="000000"/>
          <w:sz w:val="20"/>
          <w:szCs w:val="20"/>
        </w:rPr>
        <w:t>Retention and destruction of information</w:t>
      </w:r>
    </w:p>
    <w:p w14:paraId="4308D82A" w14:textId="77777777" w:rsidR="001E38BF" w:rsidRPr="00431A61" w:rsidRDefault="001E38BF" w:rsidP="00431A61">
      <w:pPr>
        <w:spacing w:after="0" w:line="276" w:lineRule="auto"/>
        <w:ind w:right="144"/>
        <w:textAlignment w:val="baseline"/>
        <w:rPr>
          <w:rFonts w:asciiTheme="minorHAnsi" w:hAnsiTheme="minorHAnsi" w:cstheme="minorHAnsi"/>
          <w:color w:val="000000"/>
          <w:sz w:val="20"/>
          <w:szCs w:val="20"/>
          <w:u w:val="single"/>
        </w:rPr>
      </w:pPr>
    </w:p>
    <w:p w14:paraId="45599860" w14:textId="77777777" w:rsidR="001E38BF" w:rsidRPr="00431A61" w:rsidRDefault="001E38BF" w:rsidP="00431A61">
      <w:pPr>
        <w:pStyle w:val="ListParagraph"/>
        <w:numPr>
          <w:ilvl w:val="1"/>
          <w:numId w:val="14"/>
        </w:numPr>
        <w:suppressAutoHyphens w:val="0"/>
        <w:autoSpaceDN/>
        <w:spacing w:line="276" w:lineRule="auto"/>
        <w:ind w:left="709" w:right="216" w:hanging="709"/>
        <w:contextualSpacing/>
        <w:rPr>
          <w:rFonts w:asciiTheme="minorHAnsi" w:hAnsiTheme="minorHAnsi" w:cstheme="minorHAnsi"/>
          <w:color w:val="000000"/>
          <w:sz w:val="20"/>
          <w:szCs w:val="20"/>
        </w:rPr>
      </w:pPr>
      <w:r w:rsidRPr="00431A61">
        <w:rPr>
          <w:rFonts w:asciiTheme="minorHAnsi" w:hAnsiTheme="minorHAnsi" w:cstheme="minorHAnsi"/>
          <w:color w:val="000000"/>
          <w:sz w:val="20"/>
          <w:szCs w:val="20"/>
        </w:rPr>
        <w:t>Under data protection law, personal data should be kept for no longer than is necessary for the purpose for which it is held. However, data protection law does not contain any prescriptive time limits for holding personal data.</w:t>
      </w:r>
    </w:p>
    <w:p w14:paraId="193781E7" w14:textId="77777777" w:rsidR="001E38BF" w:rsidRPr="00431A61" w:rsidRDefault="001E38BF" w:rsidP="00431A61">
      <w:pPr>
        <w:spacing w:after="0" w:line="276" w:lineRule="auto"/>
        <w:ind w:right="144"/>
        <w:textAlignment w:val="baseline"/>
        <w:rPr>
          <w:rFonts w:asciiTheme="minorHAnsi" w:hAnsiTheme="minorHAnsi" w:cstheme="minorHAnsi"/>
          <w:color w:val="000000"/>
          <w:sz w:val="20"/>
          <w:szCs w:val="20"/>
        </w:rPr>
      </w:pPr>
    </w:p>
    <w:p w14:paraId="017F4B65" w14:textId="77777777" w:rsidR="001E38BF" w:rsidRPr="00431A61" w:rsidRDefault="001E38BF" w:rsidP="00431A61">
      <w:pPr>
        <w:pStyle w:val="ListParagraph"/>
        <w:numPr>
          <w:ilvl w:val="1"/>
          <w:numId w:val="14"/>
        </w:numPr>
        <w:suppressAutoHyphens w:val="0"/>
        <w:autoSpaceDN/>
        <w:spacing w:line="276" w:lineRule="auto"/>
        <w:ind w:left="709" w:right="216" w:hanging="709"/>
        <w:contextualSpacing/>
        <w:rPr>
          <w:rFonts w:asciiTheme="minorHAnsi" w:eastAsia="Calibri" w:hAnsiTheme="minorHAnsi" w:cstheme="minorHAnsi"/>
          <w:color w:val="000000"/>
          <w:sz w:val="20"/>
          <w:szCs w:val="20"/>
        </w:rPr>
      </w:pPr>
      <w:r w:rsidRPr="00431A61">
        <w:rPr>
          <w:rFonts w:asciiTheme="minorHAnsi" w:hAnsiTheme="minorHAnsi" w:cstheme="minorHAnsi"/>
          <w:color w:val="000000"/>
          <w:sz w:val="20"/>
          <w:szCs w:val="20"/>
        </w:rPr>
        <w:t>The table below sets out the suggested retention periods for each type of information which may be held relating to safeguarding issues:</w:t>
      </w:r>
    </w:p>
    <w:p w14:paraId="0B7C1851" w14:textId="77777777" w:rsidR="001E38BF" w:rsidRPr="00431A61" w:rsidRDefault="001E38BF" w:rsidP="00431A61">
      <w:pPr>
        <w:pStyle w:val="NormalWeb"/>
        <w:shd w:val="clear" w:color="auto" w:fill="FFFFFF"/>
        <w:spacing w:before="0" w:beforeAutospacing="0" w:after="0" w:afterAutospacing="0" w:line="276" w:lineRule="auto"/>
        <w:contextualSpacing/>
        <w:rPr>
          <w:rFonts w:asciiTheme="minorHAnsi" w:hAnsiTheme="minorHAnsi" w:cstheme="minorHAnsi"/>
          <w:color w:val="000000"/>
          <w:sz w:val="20"/>
          <w:szCs w:val="20"/>
        </w:rPr>
      </w:pPr>
    </w:p>
    <w:tbl>
      <w:tblPr>
        <w:tblStyle w:val="TableGrid"/>
        <w:tblW w:w="5000" w:type="pct"/>
        <w:tblInd w:w="0" w:type="dxa"/>
        <w:tblLook w:val="04A0" w:firstRow="1" w:lastRow="0" w:firstColumn="1" w:lastColumn="0" w:noHBand="0" w:noVBand="1"/>
      </w:tblPr>
      <w:tblGrid>
        <w:gridCol w:w="4053"/>
        <w:gridCol w:w="2487"/>
        <w:gridCol w:w="2476"/>
      </w:tblGrid>
      <w:tr w:rsidR="001E38BF" w:rsidRPr="00431A61" w14:paraId="65A1B784" w14:textId="77777777" w:rsidTr="00F1674F">
        <w:tc>
          <w:tcPr>
            <w:tcW w:w="2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BD9EDD" w14:textId="77777777" w:rsidR="001E38BF" w:rsidRPr="00431A61" w:rsidRDefault="001E38BF" w:rsidP="00431A61">
            <w:pPr>
              <w:spacing w:line="276" w:lineRule="auto"/>
              <w:contextualSpacing/>
              <w:rPr>
                <w:rFonts w:cstheme="minorHAnsi"/>
                <w:b/>
                <w:sz w:val="20"/>
                <w:szCs w:val="20"/>
              </w:rPr>
            </w:pPr>
            <w:r w:rsidRPr="00431A61">
              <w:rPr>
                <w:rFonts w:cstheme="minorHAnsi"/>
                <w:b/>
                <w:sz w:val="20"/>
                <w:szCs w:val="20"/>
              </w:rPr>
              <w:t>Name</w:t>
            </w:r>
          </w:p>
        </w:tc>
        <w:tc>
          <w:tcPr>
            <w:tcW w:w="1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84558C" w14:textId="77777777" w:rsidR="001E38BF" w:rsidRPr="00431A61" w:rsidRDefault="001E38BF" w:rsidP="00431A61">
            <w:pPr>
              <w:spacing w:line="276" w:lineRule="auto"/>
              <w:contextualSpacing/>
              <w:rPr>
                <w:rFonts w:cstheme="minorHAnsi"/>
                <w:b/>
                <w:sz w:val="20"/>
                <w:szCs w:val="20"/>
              </w:rPr>
            </w:pPr>
            <w:r w:rsidRPr="00431A61">
              <w:rPr>
                <w:rFonts w:cstheme="minorHAnsi"/>
                <w:b/>
                <w:sz w:val="20"/>
                <w:szCs w:val="20"/>
              </w:rPr>
              <w:t>Retention period</w:t>
            </w:r>
          </w:p>
        </w:tc>
        <w:tc>
          <w:tcPr>
            <w:tcW w:w="137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D2A21C" w14:textId="77777777" w:rsidR="001E38BF" w:rsidRPr="00431A61" w:rsidRDefault="001E38BF" w:rsidP="00431A61">
            <w:pPr>
              <w:spacing w:line="276" w:lineRule="auto"/>
              <w:contextualSpacing/>
              <w:rPr>
                <w:rFonts w:cstheme="minorHAnsi"/>
                <w:b/>
                <w:sz w:val="20"/>
                <w:szCs w:val="20"/>
              </w:rPr>
            </w:pPr>
            <w:r w:rsidRPr="00431A61">
              <w:rPr>
                <w:rFonts w:cstheme="minorHAnsi"/>
                <w:b/>
                <w:sz w:val="20"/>
                <w:szCs w:val="20"/>
              </w:rPr>
              <w:t>Rationale for retention period</w:t>
            </w:r>
          </w:p>
        </w:tc>
      </w:tr>
      <w:tr w:rsidR="001E38BF" w:rsidRPr="00431A61" w14:paraId="176B5FCB" w14:textId="77777777" w:rsidTr="00F1674F">
        <w:tc>
          <w:tcPr>
            <w:tcW w:w="2248" w:type="pct"/>
            <w:tcBorders>
              <w:top w:val="single" w:sz="4" w:space="0" w:color="auto"/>
              <w:left w:val="single" w:sz="4" w:space="0" w:color="auto"/>
              <w:bottom w:val="single" w:sz="4" w:space="0" w:color="auto"/>
              <w:right w:val="single" w:sz="4" w:space="0" w:color="auto"/>
            </w:tcBorders>
            <w:shd w:val="clear" w:color="auto" w:fill="auto"/>
          </w:tcPr>
          <w:p w14:paraId="080A3304" w14:textId="77777777" w:rsidR="001E38BF" w:rsidRPr="00431A61" w:rsidRDefault="001E38BF" w:rsidP="00431A61">
            <w:pPr>
              <w:spacing w:line="276" w:lineRule="auto"/>
              <w:rPr>
                <w:rFonts w:cstheme="minorHAnsi"/>
                <w:u w:val="single"/>
              </w:rPr>
            </w:pPr>
            <w:r w:rsidRPr="00431A61">
              <w:rPr>
                <w:rFonts w:cstheme="minorHAnsi"/>
                <w:u w:val="single"/>
              </w:rPr>
              <w:t xml:space="preserve">Cases/situations that although reported to the Catholic Church, do not involve case management by the Church.  </w:t>
            </w:r>
          </w:p>
          <w:p w14:paraId="0A53CA0B" w14:textId="77777777" w:rsidR="001E38BF" w:rsidRPr="00431A61" w:rsidRDefault="001E38BF" w:rsidP="00431A61">
            <w:pPr>
              <w:spacing w:line="276" w:lineRule="auto"/>
              <w:rPr>
                <w:rFonts w:cstheme="minorHAnsi"/>
                <w:u w:val="single"/>
              </w:rPr>
            </w:pPr>
          </w:p>
          <w:p w14:paraId="4B7AB434" w14:textId="77777777" w:rsidR="001E38BF" w:rsidRPr="00431A61" w:rsidRDefault="001E38BF" w:rsidP="00431A61">
            <w:pPr>
              <w:spacing w:line="276" w:lineRule="auto"/>
              <w:rPr>
                <w:rFonts w:cstheme="minorHAnsi"/>
              </w:rPr>
            </w:pPr>
            <w:r w:rsidRPr="00431A61">
              <w:rPr>
                <w:rFonts w:cstheme="minorHAnsi"/>
              </w:rPr>
              <w:t>All records relating to enquiries and actions in respect of individuals that are referred to other organisations and there is no ongoing safeguarding case management role for the Church.  These might include allegations against individuals in different denominations and parishioners who require welfare support from statutory authorities.</w:t>
            </w:r>
          </w:p>
          <w:p w14:paraId="3D600F2D" w14:textId="77777777" w:rsidR="001E38BF" w:rsidRPr="00431A61" w:rsidRDefault="001E38BF" w:rsidP="00431A61">
            <w:pPr>
              <w:spacing w:line="276" w:lineRule="auto"/>
              <w:rPr>
                <w:rFonts w:cstheme="minorHAnsi"/>
                <w:u w:val="single"/>
              </w:rPr>
            </w:pPr>
          </w:p>
          <w:p w14:paraId="2932F47C" w14:textId="77777777" w:rsidR="001E38BF" w:rsidRPr="00431A61" w:rsidRDefault="001E38BF" w:rsidP="00431A61">
            <w:pPr>
              <w:spacing w:line="276" w:lineRule="auto"/>
              <w:contextualSpacing/>
              <w:rPr>
                <w:rFonts w:cstheme="minorHAnsi"/>
                <w:b/>
                <w:sz w:val="20"/>
                <w:szCs w:val="20"/>
              </w:rPr>
            </w:pPr>
          </w:p>
        </w:tc>
        <w:tc>
          <w:tcPr>
            <w:tcW w:w="1379" w:type="pct"/>
            <w:tcBorders>
              <w:top w:val="single" w:sz="4" w:space="0" w:color="auto"/>
              <w:left w:val="single" w:sz="4" w:space="0" w:color="auto"/>
              <w:bottom w:val="single" w:sz="4" w:space="0" w:color="auto"/>
              <w:right w:val="single" w:sz="4" w:space="0" w:color="auto"/>
            </w:tcBorders>
            <w:shd w:val="clear" w:color="auto" w:fill="auto"/>
          </w:tcPr>
          <w:p w14:paraId="22DA094C"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1 year or for as long as necessary to respond to any ongoing queries e.g. from the authority that the information has been passed to, if this is later.</w:t>
            </w:r>
          </w:p>
          <w:p w14:paraId="21A370B1" w14:textId="77777777" w:rsidR="001E38BF" w:rsidRPr="00431A61" w:rsidRDefault="001E38BF" w:rsidP="00431A61">
            <w:pPr>
              <w:spacing w:line="276" w:lineRule="auto"/>
              <w:contextualSpacing/>
              <w:rPr>
                <w:rFonts w:cstheme="minorHAnsi"/>
                <w:sz w:val="20"/>
                <w:szCs w:val="20"/>
              </w:rPr>
            </w:pPr>
          </w:p>
          <w:p w14:paraId="1627061A" w14:textId="77777777" w:rsidR="001E38BF" w:rsidRPr="00431A61" w:rsidRDefault="001E38BF" w:rsidP="00431A61">
            <w:pPr>
              <w:spacing w:line="276" w:lineRule="auto"/>
              <w:contextualSpacing/>
              <w:rPr>
                <w:rFonts w:cstheme="minorHAnsi"/>
                <w:b/>
                <w:sz w:val="20"/>
                <w:szCs w:val="20"/>
              </w:rPr>
            </w:pPr>
            <w:r w:rsidRPr="00431A61">
              <w:rPr>
                <w:rFonts w:cstheme="minorHAnsi"/>
                <w:sz w:val="20"/>
                <w:szCs w:val="20"/>
              </w:rPr>
              <w:t>A summary record including date, name of individual, and action taken is to be retained indefinitely.</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7221D814" w14:textId="77777777" w:rsidR="001E38BF" w:rsidRPr="00431A61" w:rsidRDefault="001E38BF" w:rsidP="00431A61">
            <w:pPr>
              <w:spacing w:line="276" w:lineRule="auto"/>
              <w:contextualSpacing/>
              <w:rPr>
                <w:rFonts w:cstheme="minorHAnsi"/>
                <w:b/>
                <w:sz w:val="20"/>
                <w:szCs w:val="20"/>
              </w:rPr>
            </w:pPr>
            <w:r w:rsidRPr="00431A61">
              <w:rPr>
                <w:rFonts w:cstheme="minorHAnsi"/>
                <w:sz w:val="20"/>
                <w:szCs w:val="20"/>
              </w:rPr>
              <w:t>The person against whom allegations have been made holds no role within the Church, either as an office holder or a volunteer.  If referred to another body, they will hold their own more detailed safeguarding record.  The summary record is retained to demonstrate that the referral was received and acted on.</w:t>
            </w:r>
          </w:p>
        </w:tc>
      </w:tr>
      <w:tr w:rsidR="001E38BF" w:rsidRPr="00431A61" w14:paraId="4B8ECFE7" w14:textId="77777777" w:rsidTr="00F1674F">
        <w:tc>
          <w:tcPr>
            <w:tcW w:w="2248" w:type="pct"/>
            <w:tcBorders>
              <w:top w:val="single" w:sz="4" w:space="0" w:color="auto"/>
              <w:left w:val="single" w:sz="4" w:space="0" w:color="auto"/>
              <w:bottom w:val="single" w:sz="4" w:space="0" w:color="auto"/>
              <w:right w:val="single" w:sz="4" w:space="0" w:color="auto"/>
            </w:tcBorders>
            <w:shd w:val="clear" w:color="auto" w:fill="auto"/>
          </w:tcPr>
          <w:p w14:paraId="0D46B136" w14:textId="77777777" w:rsidR="001E38BF" w:rsidRPr="00431A61" w:rsidRDefault="001E38BF" w:rsidP="00431A61">
            <w:pPr>
              <w:spacing w:line="276" w:lineRule="auto"/>
              <w:rPr>
                <w:rFonts w:cstheme="minorHAnsi"/>
              </w:rPr>
            </w:pPr>
            <w:r w:rsidRPr="00431A61">
              <w:rPr>
                <w:rFonts w:cstheme="minorHAnsi"/>
              </w:rPr>
              <w:t>All records relating to information about an individual referred to the safeguarding office that does not constitute a safeguarding matter or require any ongoing action.</w:t>
            </w:r>
          </w:p>
          <w:p w14:paraId="6C091C83" w14:textId="77777777" w:rsidR="001E38BF" w:rsidRPr="00431A61" w:rsidRDefault="001E38BF" w:rsidP="00431A61">
            <w:pPr>
              <w:spacing w:line="276" w:lineRule="auto"/>
              <w:contextualSpacing/>
              <w:rPr>
                <w:rFonts w:cstheme="minorHAnsi"/>
                <w:b/>
                <w:sz w:val="20"/>
                <w:szCs w:val="20"/>
              </w:rPr>
            </w:pPr>
          </w:p>
        </w:tc>
        <w:tc>
          <w:tcPr>
            <w:tcW w:w="1379" w:type="pct"/>
            <w:tcBorders>
              <w:top w:val="single" w:sz="4" w:space="0" w:color="auto"/>
              <w:left w:val="single" w:sz="4" w:space="0" w:color="auto"/>
              <w:bottom w:val="single" w:sz="4" w:space="0" w:color="auto"/>
              <w:right w:val="single" w:sz="4" w:space="0" w:color="auto"/>
            </w:tcBorders>
            <w:shd w:val="clear" w:color="auto" w:fill="auto"/>
          </w:tcPr>
          <w:p w14:paraId="3497BAC3" w14:textId="77777777" w:rsidR="001E38BF" w:rsidRPr="00431A61" w:rsidRDefault="001E38BF" w:rsidP="00431A61">
            <w:pPr>
              <w:spacing w:line="276" w:lineRule="auto"/>
              <w:contextualSpacing/>
              <w:rPr>
                <w:rFonts w:cstheme="minorHAnsi"/>
                <w:b/>
                <w:sz w:val="20"/>
                <w:szCs w:val="20"/>
              </w:rPr>
            </w:pPr>
            <w:r w:rsidRPr="00431A61">
              <w:rPr>
                <w:rFonts w:cstheme="minorHAnsi"/>
                <w:sz w:val="20"/>
                <w:szCs w:val="20"/>
              </w:rPr>
              <w:t>A summary record including date, name of individual, and action taken is to be retained indefinitely where the person concerned is a member of clergy and for 12 months for all others.</w:t>
            </w: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3BE49758" w14:textId="77777777" w:rsidR="001E38BF" w:rsidRPr="00431A61" w:rsidRDefault="001E38BF" w:rsidP="00431A61">
            <w:pPr>
              <w:spacing w:line="276" w:lineRule="auto"/>
              <w:contextualSpacing/>
              <w:rPr>
                <w:rFonts w:cstheme="minorHAnsi"/>
                <w:b/>
                <w:sz w:val="20"/>
                <w:szCs w:val="20"/>
              </w:rPr>
            </w:pPr>
            <w:r w:rsidRPr="00431A61">
              <w:rPr>
                <w:rFonts w:cstheme="minorHAnsi"/>
                <w:sz w:val="20"/>
                <w:szCs w:val="20"/>
              </w:rPr>
              <w:t>The information does not constitute a safeguarding matter or require any further action.  The summary record is retained to demonstrate that the information was received and considered.</w:t>
            </w:r>
          </w:p>
        </w:tc>
      </w:tr>
      <w:tr w:rsidR="001E38BF" w:rsidRPr="00431A61" w14:paraId="5A5B6BDE" w14:textId="77777777" w:rsidTr="00F1674F">
        <w:tc>
          <w:tcPr>
            <w:tcW w:w="2248" w:type="pct"/>
            <w:tcBorders>
              <w:top w:val="single" w:sz="4" w:space="0" w:color="auto"/>
              <w:left w:val="single" w:sz="4" w:space="0" w:color="auto"/>
              <w:bottom w:val="single" w:sz="4" w:space="0" w:color="auto"/>
              <w:right w:val="single" w:sz="4" w:space="0" w:color="auto"/>
            </w:tcBorders>
          </w:tcPr>
          <w:p w14:paraId="40CAAEF4" w14:textId="77777777" w:rsidR="001E38BF" w:rsidRPr="00431A61" w:rsidRDefault="001E38BF" w:rsidP="00431A61">
            <w:pPr>
              <w:spacing w:line="276" w:lineRule="auto"/>
              <w:contextualSpacing/>
              <w:rPr>
                <w:rFonts w:cstheme="minorHAnsi"/>
                <w:sz w:val="20"/>
                <w:szCs w:val="20"/>
                <w:u w:val="single"/>
              </w:rPr>
            </w:pPr>
            <w:r w:rsidRPr="00431A61">
              <w:rPr>
                <w:rFonts w:cstheme="minorHAnsi"/>
                <w:sz w:val="20"/>
                <w:szCs w:val="20"/>
                <w:u w:val="single"/>
              </w:rPr>
              <w:t>Case files in the name of alleged perpetrator that are likely to include, but not restricted to:</w:t>
            </w:r>
          </w:p>
          <w:p w14:paraId="3AA69EE8" w14:textId="77777777" w:rsidR="001E38BF" w:rsidRPr="00431A61" w:rsidRDefault="001E38BF" w:rsidP="00431A61">
            <w:pPr>
              <w:spacing w:line="276" w:lineRule="auto"/>
              <w:contextualSpacing/>
              <w:rPr>
                <w:rFonts w:cstheme="minorHAnsi"/>
                <w:sz w:val="20"/>
                <w:szCs w:val="20"/>
              </w:rPr>
            </w:pPr>
          </w:p>
          <w:p w14:paraId="252B0313"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CM1 – referral form</w:t>
            </w:r>
          </w:p>
          <w:p w14:paraId="7E21ACBE" w14:textId="77777777" w:rsidR="001E38BF" w:rsidRPr="00431A61" w:rsidRDefault="001E38BF" w:rsidP="00431A61">
            <w:pPr>
              <w:spacing w:line="276" w:lineRule="auto"/>
              <w:contextualSpacing/>
              <w:rPr>
                <w:rFonts w:cstheme="minorHAnsi"/>
                <w:sz w:val="20"/>
                <w:szCs w:val="20"/>
              </w:rPr>
            </w:pPr>
          </w:p>
          <w:p w14:paraId="6CECE1BE"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Case recording log</w:t>
            </w:r>
          </w:p>
          <w:p w14:paraId="569D2571" w14:textId="77777777" w:rsidR="001E38BF" w:rsidRPr="00431A61" w:rsidRDefault="001E38BF" w:rsidP="00431A61">
            <w:pPr>
              <w:spacing w:line="276" w:lineRule="auto"/>
              <w:contextualSpacing/>
              <w:rPr>
                <w:rFonts w:cstheme="minorHAnsi"/>
                <w:sz w:val="20"/>
                <w:szCs w:val="20"/>
              </w:rPr>
            </w:pPr>
          </w:p>
          <w:p w14:paraId="65B23DC9"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Chronology of significant events</w:t>
            </w:r>
          </w:p>
          <w:p w14:paraId="01F92AC7" w14:textId="77777777" w:rsidR="001E38BF" w:rsidRPr="00431A61" w:rsidRDefault="001E38BF" w:rsidP="00431A61">
            <w:pPr>
              <w:spacing w:line="276" w:lineRule="auto"/>
              <w:contextualSpacing/>
              <w:rPr>
                <w:rFonts w:cstheme="minorHAnsi"/>
                <w:sz w:val="20"/>
                <w:szCs w:val="20"/>
              </w:rPr>
            </w:pPr>
          </w:p>
          <w:p w14:paraId="4EEAD734"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Case summaries (excluding final summary when main file records are being deleted)</w:t>
            </w:r>
          </w:p>
          <w:p w14:paraId="224EC79A" w14:textId="77777777" w:rsidR="001E38BF" w:rsidRPr="00431A61" w:rsidRDefault="001E38BF" w:rsidP="00431A61">
            <w:pPr>
              <w:spacing w:line="276" w:lineRule="auto"/>
              <w:contextualSpacing/>
              <w:rPr>
                <w:rFonts w:cstheme="minorHAnsi"/>
                <w:sz w:val="20"/>
                <w:szCs w:val="20"/>
              </w:rPr>
            </w:pPr>
          </w:p>
          <w:p w14:paraId="434C2408"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Letters/emails/texts/other electronic messaging sent and received</w:t>
            </w:r>
          </w:p>
          <w:p w14:paraId="5B0F0C83" w14:textId="77777777" w:rsidR="001E38BF" w:rsidRPr="00431A61" w:rsidRDefault="001E38BF" w:rsidP="00431A61">
            <w:pPr>
              <w:spacing w:line="276" w:lineRule="auto"/>
              <w:contextualSpacing/>
              <w:rPr>
                <w:rFonts w:cstheme="minorHAnsi"/>
                <w:sz w:val="20"/>
                <w:szCs w:val="20"/>
              </w:rPr>
            </w:pPr>
          </w:p>
          <w:p w14:paraId="6B5FF3F9"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Minutes of meetings</w:t>
            </w:r>
          </w:p>
          <w:p w14:paraId="5B1F975C" w14:textId="77777777" w:rsidR="001E38BF" w:rsidRPr="00431A61" w:rsidRDefault="001E38BF" w:rsidP="00431A61">
            <w:pPr>
              <w:spacing w:line="276" w:lineRule="auto"/>
              <w:contextualSpacing/>
              <w:rPr>
                <w:rFonts w:cstheme="minorHAnsi"/>
                <w:sz w:val="20"/>
                <w:szCs w:val="20"/>
              </w:rPr>
            </w:pPr>
          </w:p>
          <w:p w14:paraId="65FE80A8"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IRA2 Risk Assessment Agreement and any agreement between commissioned assessor/investigator and person being assessed/investigated</w:t>
            </w:r>
          </w:p>
          <w:p w14:paraId="6F9A9DDF" w14:textId="77777777" w:rsidR="001E38BF" w:rsidRPr="00431A61" w:rsidRDefault="001E38BF" w:rsidP="00431A61">
            <w:pPr>
              <w:spacing w:line="276" w:lineRule="auto"/>
              <w:contextualSpacing/>
              <w:rPr>
                <w:rFonts w:cstheme="minorHAnsi"/>
                <w:sz w:val="20"/>
                <w:szCs w:val="20"/>
              </w:rPr>
            </w:pPr>
          </w:p>
          <w:p w14:paraId="19A762FC"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Safeguarding Plans</w:t>
            </w:r>
          </w:p>
          <w:p w14:paraId="458D1179"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Risk Information Framework</w:t>
            </w:r>
          </w:p>
          <w:p w14:paraId="4FE42413" w14:textId="77777777" w:rsidR="001E38BF" w:rsidRPr="00431A61" w:rsidRDefault="001E38BF" w:rsidP="00431A61">
            <w:pPr>
              <w:spacing w:line="276" w:lineRule="auto"/>
              <w:contextualSpacing/>
              <w:rPr>
                <w:rFonts w:cstheme="minorHAnsi"/>
                <w:sz w:val="20"/>
                <w:szCs w:val="20"/>
              </w:rPr>
            </w:pPr>
          </w:p>
          <w:p w14:paraId="7E48D3ED"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 xml:space="preserve">Reports e.g. risk assessment, psychological, psychiatric, investigative, </w:t>
            </w:r>
          </w:p>
          <w:p w14:paraId="4AF721EF" w14:textId="77777777" w:rsidR="001E38BF" w:rsidRPr="00431A61" w:rsidRDefault="001E38BF" w:rsidP="00431A61">
            <w:pPr>
              <w:spacing w:line="276" w:lineRule="auto"/>
              <w:contextualSpacing/>
              <w:rPr>
                <w:rFonts w:cstheme="minorHAnsi"/>
                <w:sz w:val="20"/>
                <w:szCs w:val="20"/>
              </w:rPr>
            </w:pPr>
          </w:p>
          <w:p w14:paraId="05DDAAF7"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National review template forms</w:t>
            </w:r>
          </w:p>
          <w:p w14:paraId="23F470BE" w14:textId="77777777" w:rsidR="001E38BF" w:rsidRPr="00431A61" w:rsidRDefault="001E38BF" w:rsidP="00431A61">
            <w:pPr>
              <w:spacing w:line="276" w:lineRule="auto"/>
              <w:contextualSpacing/>
              <w:rPr>
                <w:rFonts w:cstheme="minorHAnsi"/>
                <w:sz w:val="20"/>
                <w:szCs w:val="20"/>
              </w:rPr>
            </w:pPr>
          </w:p>
          <w:p w14:paraId="7395E689"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Legal and restricted information which must be kept in a separate section of the file.</w:t>
            </w:r>
          </w:p>
          <w:p w14:paraId="58BA1AD7" w14:textId="77777777" w:rsidR="001E38BF" w:rsidRPr="00431A61" w:rsidRDefault="001E38BF" w:rsidP="00431A61">
            <w:pPr>
              <w:spacing w:line="276" w:lineRule="auto"/>
              <w:contextualSpacing/>
              <w:rPr>
                <w:rFonts w:cstheme="minorHAnsi"/>
                <w:sz w:val="20"/>
                <w:szCs w:val="20"/>
              </w:rPr>
            </w:pPr>
          </w:p>
          <w:p w14:paraId="76A49AB8" w14:textId="77777777" w:rsidR="001E38BF" w:rsidRPr="00431A61" w:rsidRDefault="001E38BF" w:rsidP="00431A61">
            <w:pPr>
              <w:spacing w:line="276" w:lineRule="auto"/>
              <w:contextualSpacing/>
              <w:rPr>
                <w:rFonts w:cstheme="minorHAnsi"/>
                <w:sz w:val="20"/>
                <w:szCs w:val="20"/>
              </w:rPr>
            </w:pPr>
          </w:p>
        </w:tc>
        <w:tc>
          <w:tcPr>
            <w:tcW w:w="1379" w:type="pct"/>
            <w:tcBorders>
              <w:top w:val="single" w:sz="4" w:space="0" w:color="auto"/>
              <w:left w:val="single" w:sz="4" w:space="0" w:color="auto"/>
              <w:bottom w:val="single" w:sz="4" w:space="0" w:color="auto"/>
              <w:right w:val="single" w:sz="4" w:space="0" w:color="auto"/>
            </w:tcBorders>
          </w:tcPr>
          <w:p w14:paraId="23D08546"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lastRenderedPageBreak/>
              <w:t xml:space="preserve">For clergy and religious, 85 years from date of birth, or date of death if later. At the end of the relevant period, a summary record of the case file will be retained indefinitely.  </w:t>
            </w:r>
          </w:p>
          <w:p w14:paraId="11958ECC" w14:textId="77777777" w:rsidR="001E38BF" w:rsidRPr="00431A61" w:rsidRDefault="001E38BF" w:rsidP="00431A61">
            <w:pPr>
              <w:spacing w:line="276" w:lineRule="auto"/>
              <w:contextualSpacing/>
              <w:rPr>
                <w:rFonts w:cstheme="minorHAnsi"/>
                <w:sz w:val="20"/>
                <w:szCs w:val="20"/>
              </w:rPr>
            </w:pPr>
          </w:p>
          <w:p w14:paraId="3193DCB6"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lastRenderedPageBreak/>
              <w:t>For all other church roles e.g., volunteers, office holders, 25 years from the date their role ceases or at least 6 years after the date of death of the accused person if this is sooner. At the end of these retention periods, a summary record of the case file will be retained until the 85</w:t>
            </w:r>
            <w:r w:rsidRPr="00431A61">
              <w:rPr>
                <w:rFonts w:cstheme="minorHAnsi"/>
                <w:sz w:val="20"/>
                <w:szCs w:val="20"/>
                <w:vertAlign w:val="superscript"/>
              </w:rPr>
              <w:t>th</w:t>
            </w:r>
            <w:r w:rsidRPr="00431A61">
              <w:rPr>
                <w:rFonts w:cstheme="minorHAnsi"/>
                <w:sz w:val="20"/>
                <w:szCs w:val="20"/>
              </w:rPr>
              <w:t xml:space="preserve"> birthday of the accused person.  </w:t>
            </w:r>
          </w:p>
          <w:p w14:paraId="1086F93A"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 xml:space="preserve">  </w:t>
            </w:r>
          </w:p>
          <w:p w14:paraId="2513E802"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The summary record should include:</w:t>
            </w:r>
          </w:p>
          <w:p w14:paraId="07B86893"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 xml:space="preserve"> </w:t>
            </w:r>
          </w:p>
          <w:p w14:paraId="48908CB2"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Name of accused:</w:t>
            </w:r>
          </w:p>
          <w:p w14:paraId="6C725277"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DOB:</w:t>
            </w:r>
          </w:p>
          <w:p w14:paraId="78D29C35"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DOD:</w:t>
            </w:r>
          </w:p>
          <w:p w14:paraId="42BF9C8F"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Role:</w:t>
            </w:r>
          </w:p>
          <w:p w14:paraId="4BE5E4CD"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Date of ordination(employment):</w:t>
            </w:r>
          </w:p>
          <w:p w14:paraId="4D8777EB"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Movement between dioceses/religious congregations:</w:t>
            </w:r>
          </w:p>
          <w:p w14:paraId="61105E57"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Summary of safeguarding issues/convictions etc:</w:t>
            </w:r>
          </w:p>
          <w:p w14:paraId="4C0025FE"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Record of DBS checks/other checks (e.g. testimonials):</w:t>
            </w:r>
          </w:p>
          <w:p w14:paraId="3CBE5AD0"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Summary of actions taken by the Church:</w:t>
            </w:r>
          </w:p>
          <w:p w14:paraId="6DAEB9B9"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Name of alleged victim(s):</w:t>
            </w:r>
          </w:p>
          <w:p w14:paraId="6317D814"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DOB of alleged victims:</w:t>
            </w:r>
          </w:p>
          <w:p w14:paraId="24C96A6F" w14:textId="77777777" w:rsidR="001E38BF" w:rsidRPr="00431A61" w:rsidRDefault="001E38BF" w:rsidP="00431A61">
            <w:pPr>
              <w:spacing w:line="276" w:lineRule="auto"/>
              <w:contextualSpacing/>
              <w:rPr>
                <w:rFonts w:cstheme="minorHAnsi"/>
                <w:sz w:val="20"/>
                <w:szCs w:val="20"/>
              </w:rPr>
            </w:pPr>
          </w:p>
        </w:tc>
        <w:tc>
          <w:tcPr>
            <w:tcW w:w="1373" w:type="pct"/>
            <w:tcBorders>
              <w:top w:val="single" w:sz="4" w:space="0" w:color="auto"/>
              <w:left w:val="single" w:sz="4" w:space="0" w:color="auto"/>
              <w:bottom w:val="single" w:sz="4" w:space="0" w:color="auto"/>
              <w:right w:val="single" w:sz="4" w:space="0" w:color="auto"/>
            </w:tcBorders>
          </w:tcPr>
          <w:p w14:paraId="5E04DEC4"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lastRenderedPageBreak/>
              <w:t xml:space="preserve">Clergy and Religious generally have a lifelong relationship with the Church and dioceses and religious congregations have vicarious liability for their actions whilst within the Church, even after they </w:t>
            </w:r>
            <w:r w:rsidRPr="00431A61">
              <w:rPr>
                <w:rFonts w:cstheme="minorHAnsi"/>
                <w:sz w:val="20"/>
                <w:szCs w:val="20"/>
              </w:rPr>
              <w:lastRenderedPageBreak/>
              <w:t>have left the Church.  We know that people often do not tell the Church about alleged abuse for many years after it is said to have occurred.  For these reasons, full case files concerning religious and clergy are to be kept until the accused person’s 85</w:t>
            </w:r>
            <w:r w:rsidRPr="00431A61">
              <w:rPr>
                <w:rFonts w:cstheme="minorHAnsi"/>
                <w:sz w:val="20"/>
                <w:szCs w:val="20"/>
                <w:vertAlign w:val="superscript"/>
              </w:rPr>
              <w:t>th</w:t>
            </w:r>
            <w:r w:rsidRPr="00431A61">
              <w:rPr>
                <w:rFonts w:cstheme="minorHAnsi"/>
                <w:sz w:val="20"/>
                <w:szCs w:val="20"/>
              </w:rPr>
              <w:t xml:space="preserve"> birthday or death if later, and summary files are to be kept indefinitely.</w:t>
            </w:r>
          </w:p>
          <w:p w14:paraId="7BE2F91D" w14:textId="77777777" w:rsidR="001E38BF" w:rsidRPr="00431A61" w:rsidRDefault="001E38BF" w:rsidP="00431A61">
            <w:pPr>
              <w:spacing w:line="276" w:lineRule="auto"/>
              <w:contextualSpacing/>
              <w:rPr>
                <w:rFonts w:cstheme="minorHAnsi"/>
                <w:sz w:val="20"/>
                <w:szCs w:val="20"/>
              </w:rPr>
            </w:pPr>
          </w:p>
          <w:p w14:paraId="4D7BCDA9"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In respect of other roles, the Limitation Act 1980 provides for a limitation period of 3 years for personal injury claims from the date of the incident, or from the claimant’s 18</w:t>
            </w:r>
            <w:r w:rsidRPr="00431A61">
              <w:rPr>
                <w:rFonts w:cstheme="minorHAnsi"/>
                <w:sz w:val="20"/>
                <w:szCs w:val="20"/>
                <w:vertAlign w:val="superscript"/>
              </w:rPr>
              <w:t>th</w:t>
            </w:r>
            <w:r w:rsidRPr="00431A61">
              <w:rPr>
                <w:rFonts w:cstheme="minorHAnsi"/>
                <w:sz w:val="20"/>
                <w:szCs w:val="20"/>
              </w:rPr>
              <w:t xml:space="preserve"> birthday if the incident occurred prior to that date.  However, Judges have an unfettered discretion under the Limitation Act to allow a claim to proceed outside of these timescales. We know that people often do not tell the Church about alleged abuse for many years after it is said to have occurred.</w:t>
            </w:r>
          </w:p>
          <w:p w14:paraId="218DBD9D"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For this reason, we keep full files until 25 years after the role ceases and summary files until the 85</w:t>
            </w:r>
            <w:r w:rsidRPr="00431A61">
              <w:rPr>
                <w:rFonts w:cstheme="minorHAnsi"/>
                <w:sz w:val="20"/>
                <w:szCs w:val="20"/>
                <w:vertAlign w:val="superscript"/>
              </w:rPr>
              <w:t>th</w:t>
            </w:r>
            <w:r w:rsidRPr="00431A61">
              <w:rPr>
                <w:rFonts w:cstheme="minorHAnsi"/>
                <w:sz w:val="20"/>
                <w:szCs w:val="20"/>
              </w:rPr>
              <w:t xml:space="preserve"> birthday of the accused person.  </w:t>
            </w:r>
          </w:p>
          <w:p w14:paraId="55AFF51E" w14:textId="77777777" w:rsidR="001E38BF" w:rsidRPr="00431A61" w:rsidRDefault="001E38BF" w:rsidP="00431A61">
            <w:pPr>
              <w:spacing w:line="276" w:lineRule="auto"/>
              <w:contextualSpacing/>
              <w:rPr>
                <w:rFonts w:cstheme="minorHAnsi"/>
                <w:sz w:val="20"/>
                <w:szCs w:val="20"/>
              </w:rPr>
            </w:pPr>
          </w:p>
        </w:tc>
      </w:tr>
      <w:tr w:rsidR="001E38BF" w:rsidRPr="00431A61" w14:paraId="2B987BBE" w14:textId="77777777" w:rsidTr="00F1674F">
        <w:tc>
          <w:tcPr>
            <w:tcW w:w="2248" w:type="pct"/>
            <w:tcBorders>
              <w:top w:val="single" w:sz="4" w:space="0" w:color="auto"/>
              <w:left w:val="single" w:sz="4" w:space="0" w:color="auto"/>
              <w:bottom w:val="single" w:sz="4" w:space="0" w:color="auto"/>
              <w:right w:val="single" w:sz="4" w:space="0" w:color="auto"/>
            </w:tcBorders>
          </w:tcPr>
          <w:p w14:paraId="00461A0A" w14:textId="77777777" w:rsidR="001E38BF" w:rsidRPr="00431A61" w:rsidRDefault="001E38BF" w:rsidP="00431A61">
            <w:pPr>
              <w:spacing w:line="276" w:lineRule="auto"/>
              <w:contextualSpacing/>
              <w:rPr>
                <w:rFonts w:cstheme="minorHAnsi"/>
                <w:sz w:val="20"/>
                <w:szCs w:val="20"/>
                <w:u w:val="single"/>
              </w:rPr>
            </w:pPr>
            <w:r w:rsidRPr="00431A61">
              <w:rPr>
                <w:rFonts w:cstheme="minorHAnsi"/>
                <w:sz w:val="20"/>
                <w:szCs w:val="20"/>
                <w:u w:val="single"/>
              </w:rPr>
              <w:lastRenderedPageBreak/>
              <w:t>Parish or other event/activity related records.  Records are likely to include but are not restricted to:</w:t>
            </w:r>
          </w:p>
          <w:p w14:paraId="1C61A4D0" w14:textId="77777777" w:rsidR="001E38BF" w:rsidRPr="00431A61" w:rsidRDefault="001E38BF" w:rsidP="00431A61">
            <w:pPr>
              <w:spacing w:line="276" w:lineRule="auto"/>
              <w:contextualSpacing/>
              <w:rPr>
                <w:rFonts w:cstheme="minorHAnsi"/>
                <w:sz w:val="20"/>
                <w:szCs w:val="20"/>
              </w:rPr>
            </w:pPr>
          </w:p>
          <w:p w14:paraId="68FC755C"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PHOTO 1 – Parental consent to use of images</w:t>
            </w:r>
          </w:p>
          <w:p w14:paraId="382F42AF" w14:textId="77777777" w:rsidR="001E38BF" w:rsidRPr="00431A61" w:rsidRDefault="001E38BF" w:rsidP="00431A61">
            <w:pPr>
              <w:spacing w:line="276" w:lineRule="auto"/>
              <w:contextualSpacing/>
              <w:rPr>
                <w:rFonts w:cstheme="minorHAnsi"/>
                <w:sz w:val="20"/>
                <w:szCs w:val="20"/>
              </w:rPr>
            </w:pPr>
          </w:p>
          <w:p w14:paraId="081DFB82"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Case 2 – Approval of events form</w:t>
            </w:r>
          </w:p>
          <w:p w14:paraId="01466C18" w14:textId="77777777" w:rsidR="001E38BF" w:rsidRPr="00431A61" w:rsidRDefault="001E38BF" w:rsidP="00431A61">
            <w:pPr>
              <w:spacing w:line="276" w:lineRule="auto"/>
              <w:contextualSpacing/>
              <w:rPr>
                <w:rFonts w:cstheme="minorHAnsi"/>
                <w:sz w:val="20"/>
                <w:szCs w:val="20"/>
              </w:rPr>
            </w:pPr>
          </w:p>
          <w:p w14:paraId="05AD7B3C"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Case 4 – Parental consent for an activity</w:t>
            </w:r>
          </w:p>
          <w:p w14:paraId="6B5D6E35" w14:textId="77777777" w:rsidR="001E38BF" w:rsidRPr="00431A61" w:rsidRDefault="001E38BF" w:rsidP="00431A61">
            <w:pPr>
              <w:spacing w:line="276" w:lineRule="auto"/>
              <w:contextualSpacing/>
              <w:rPr>
                <w:rFonts w:cstheme="minorHAnsi"/>
                <w:sz w:val="20"/>
                <w:szCs w:val="20"/>
              </w:rPr>
            </w:pPr>
          </w:p>
          <w:p w14:paraId="7A59E28A"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Case 5 – Session recording sheet</w:t>
            </w:r>
          </w:p>
          <w:p w14:paraId="6554CFAD" w14:textId="77777777" w:rsidR="001E38BF" w:rsidRPr="00431A61" w:rsidRDefault="001E38BF" w:rsidP="00431A61">
            <w:pPr>
              <w:spacing w:line="276" w:lineRule="auto"/>
              <w:contextualSpacing/>
              <w:rPr>
                <w:rFonts w:cstheme="minorHAnsi"/>
                <w:sz w:val="20"/>
                <w:szCs w:val="20"/>
              </w:rPr>
            </w:pPr>
          </w:p>
          <w:p w14:paraId="01B01052"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*Case 6 – Incident report form</w:t>
            </w:r>
          </w:p>
          <w:p w14:paraId="5A6EBF8D" w14:textId="77777777" w:rsidR="001E38BF" w:rsidRPr="00431A61" w:rsidRDefault="001E38BF" w:rsidP="00431A61">
            <w:pPr>
              <w:spacing w:line="276" w:lineRule="auto"/>
              <w:contextualSpacing/>
              <w:rPr>
                <w:rFonts w:cstheme="minorHAnsi"/>
                <w:sz w:val="20"/>
                <w:szCs w:val="20"/>
              </w:rPr>
            </w:pPr>
          </w:p>
        </w:tc>
        <w:tc>
          <w:tcPr>
            <w:tcW w:w="1379" w:type="pct"/>
            <w:tcBorders>
              <w:top w:val="single" w:sz="4" w:space="0" w:color="auto"/>
              <w:left w:val="single" w:sz="4" w:space="0" w:color="auto"/>
              <w:bottom w:val="single" w:sz="4" w:space="0" w:color="auto"/>
              <w:right w:val="single" w:sz="4" w:space="0" w:color="auto"/>
            </w:tcBorders>
          </w:tcPr>
          <w:p w14:paraId="65B7730B"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lastRenderedPageBreak/>
              <w:t>3 years after event/activity ceases.</w:t>
            </w:r>
          </w:p>
          <w:p w14:paraId="49C55047" w14:textId="77777777" w:rsidR="001E38BF" w:rsidRPr="00431A61" w:rsidRDefault="001E38BF" w:rsidP="00431A61">
            <w:pPr>
              <w:spacing w:line="276" w:lineRule="auto"/>
              <w:contextualSpacing/>
              <w:rPr>
                <w:rFonts w:cstheme="minorHAnsi"/>
                <w:sz w:val="20"/>
                <w:szCs w:val="20"/>
              </w:rPr>
            </w:pPr>
          </w:p>
          <w:p w14:paraId="31A5811F" w14:textId="77777777" w:rsidR="001E38BF" w:rsidRPr="00431A61" w:rsidRDefault="001E38BF" w:rsidP="00431A61">
            <w:pPr>
              <w:spacing w:line="276" w:lineRule="auto"/>
              <w:contextualSpacing/>
              <w:rPr>
                <w:rFonts w:cstheme="minorHAnsi"/>
                <w:sz w:val="20"/>
                <w:szCs w:val="20"/>
              </w:rPr>
            </w:pPr>
          </w:p>
          <w:p w14:paraId="3557471F" w14:textId="77777777" w:rsidR="001E38BF" w:rsidRPr="00431A61" w:rsidRDefault="001E38BF" w:rsidP="00431A61">
            <w:pPr>
              <w:spacing w:line="276" w:lineRule="auto"/>
              <w:contextualSpacing/>
              <w:rPr>
                <w:rFonts w:cstheme="minorHAnsi"/>
                <w:sz w:val="20"/>
                <w:szCs w:val="20"/>
              </w:rPr>
            </w:pPr>
          </w:p>
          <w:p w14:paraId="70504753" w14:textId="77777777" w:rsidR="001E38BF" w:rsidRPr="00431A61" w:rsidRDefault="001E38BF" w:rsidP="00431A61">
            <w:pPr>
              <w:spacing w:line="276" w:lineRule="auto"/>
              <w:contextualSpacing/>
              <w:rPr>
                <w:rFonts w:cstheme="minorHAnsi"/>
                <w:sz w:val="20"/>
                <w:szCs w:val="20"/>
              </w:rPr>
            </w:pPr>
          </w:p>
          <w:p w14:paraId="52CD3DE7" w14:textId="77777777" w:rsidR="001E38BF" w:rsidRPr="00431A61" w:rsidRDefault="001E38BF" w:rsidP="00431A61">
            <w:pPr>
              <w:spacing w:line="276" w:lineRule="auto"/>
              <w:contextualSpacing/>
              <w:rPr>
                <w:rFonts w:cstheme="minorHAnsi"/>
                <w:sz w:val="20"/>
                <w:szCs w:val="20"/>
              </w:rPr>
            </w:pPr>
          </w:p>
          <w:p w14:paraId="26CC9F69" w14:textId="77777777" w:rsidR="001E38BF" w:rsidRPr="00431A61" w:rsidRDefault="001E38BF" w:rsidP="00431A61">
            <w:pPr>
              <w:spacing w:line="276" w:lineRule="auto"/>
              <w:contextualSpacing/>
              <w:rPr>
                <w:rFonts w:cstheme="minorHAnsi"/>
                <w:sz w:val="20"/>
                <w:szCs w:val="20"/>
              </w:rPr>
            </w:pPr>
          </w:p>
          <w:p w14:paraId="130C467B" w14:textId="77777777" w:rsidR="001E38BF" w:rsidRPr="00431A61" w:rsidRDefault="001E38BF" w:rsidP="00431A61">
            <w:pPr>
              <w:spacing w:line="276" w:lineRule="auto"/>
              <w:contextualSpacing/>
              <w:rPr>
                <w:rFonts w:cstheme="minorHAnsi"/>
                <w:sz w:val="20"/>
                <w:szCs w:val="20"/>
                <w:u w:val="single"/>
              </w:rPr>
            </w:pPr>
          </w:p>
          <w:p w14:paraId="58F88D29" w14:textId="77777777" w:rsidR="001E38BF" w:rsidRPr="00431A61" w:rsidRDefault="001E38BF" w:rsidP="00431A61">
            <w:pPr>
              <w:spacing w:line="276" w:lineRule="auto"/>
              <w:contextualSpacing/>
              <w:rPr>
                <w:rFonts w:cstheme="minorHAnsi"/>
                <w:sz w:val="20"/>
                <w:szCs w:val="20"/>
                <w:u w:val="single"/>
              </w:rPr>
            </w:pPr>
          </w:p>
          <w:p w14:paraId="524C4BBD" w14:textId="77777777" w:rsidR="001E38BF" w:rsidRPr="00431A61" w:rsidRDefault="001E38BF" w:rsidP="00431A61">
            <w:pPr>
              <w:spacing w:line="276" w:lineRule="auto"/>
              <w:contextualSpacing/>
              <w:rPr>
                <w:rFonts w:cstheme="minorHAnsi"/>
                <w:sz w:val="20"/>
                <w:szCs w:val="20"/>
                <w:u w:val="single"/>
              </w:rPr>
            </w:pPr>
          </w:p>
          <w:p w14:paraId="54027670" w14:textId="77777777" w:rsidR="001E38BF" w:rsidRPr="00431A61" w:rsidRDefault="001E38BF" w:rsidP="00431A61">
            <w:pPr>
              <w:spacing w:line="276" w:lineRule="auto"/>
              <w:contextualSpacing/>
              <w:rPr>
                <w:rFonts w:cstheme="minorHAnsi"/>
                <w:sz w:val="20"/>
                <w:szCs w:val="20"/>
                <w:u w:val="single"/>
              </w:rPr>
            </w:pPr>
          </w:p>
          <w:p w14:paraId="7D868C49" w14:textId="77777777" w:rsidR="001E38BF" w:rsidRPr="00431A61" w:rsidRDefault="001E38BF" w:rsidP="00431A61">
            <w:pPr>
              <w:spacing w:line="276" w:lineRule="auto"/>
              <w:contextualSpacing/>
              <w:rPr>
                <w:rFonts w:cstheme="minorHAnsi"/>
                <w:sz w:val="20"/>
                <w:szCs w:val="20"/>
                <w:u w:val="single"/>
              </w:rPr>
            </w:pPr>
            <w:r w:rsidRPr="00431A61">
              <w:rPr>
                <w:rFonts w:cstheme="minorHAnsi"/>
                <w:sz w:val="20"/>
                <w:szCs w:val="20"/>
                <w:u w:val="single"/>
              </w:rPr>
              <w:t>*Case 6</w:t>
            </w:r>
          </w:p>
          <w:p w14:paraId="2DC0D869" w14:textId="77777777" w:rsidR="001E38BF" w:rsidRPr="00431A61" w:rsidRDefault="001E38BF" w:rsidP="00431A61">
            <w:pPr>
              <w:numPr>
                <w:ilvl w:val="0"/>
                <w:numId w:val="6"/>
              </w:numPr>
              <w:spacing w:line="276" w:lineRule="auto"/>
              <w:ind w:left="508" w:hanging="283"/>
              <w:contextualSpacing/>
              <w:rPr>
                <w:rFonts w:eastAsia="Times New Roman" w:cstheme="minorHAnsi"/>
                <w:sz w:val="20"/>
                <w:szCs w:val="20"/>
              </w:rPr>
            </w:pPr>
            <w:r w:rsidRPr="00431A61">
              <w:rPr>
                <w:rFonts w:eastAsia="Times New Roman" w:cstheme="minorHAnsi"/>
                <w:sz w:val="20"/>
                <w:szCs w:val="20"/>
              </w:rPr>
              <w:t>Incident involving an adult – 3 years from date of incident</w:t>
            </w:r>
          </w:p>
          <w:p w14:paraId="5A3B12C7" w14:textId="77777777" w:rsidR="001E38BF" w:rsidRPr="00431A61" w:rsidRDefault="001E38BF" w:rsidP="00431A61">
            <w:pPr>
              <w:numPr>
                <w:ilvl w:val="0"/>
                <w:numId w:val="6"/>
              </w:numPr>
              <w:spacing w:line="276" w:lineRule="auto"/>
              <w:ind w:left="508" w:hanging="283"/>
              <w:contextualSpacing/>
              <w:rPr>
                <w:rFonts w:eastAsia="Times New Roman" w:cstheme="minorHAnsi"/>
                <w:sz w:val="20"/>
                <w:szCs w:val="20"/>
              </w:rPr>
            </w:pPr>
            <w:r w:rsidRPr="00431A61">
              <w:rPr>
                <w:rFonts w:eastAsia="Times New Roman" w:cstheme="minorHAnsi"/>
                <w:sz w:val="20"/>
                <w:szCs w:val="20"/>
              </w:rPr>
              <w:t>Incident involving a child – 21 years from date of incident</w:t>
            </w:r>
          </w:p>
          <w:p w14:paraId="274C45F2" w14:textId="77777777" w:rsidR="001E38BF" w:rsidRPr="00431A61" w:rsidRDefault="001E38BF" w:rsidP="00431A61">
            <w:pPr>
              <w:spacing w:line="276" w:lineRule="auto"/>
              <w:contextualSpacing/>
              <w:rPr>
                <w:rFonts w:cstheme="minorHAnsi"/>
                <w:sz w:val="20"/>
                <w:szCs w:val="20"/>
              </w:rPr>
            </w:pPr>
          </w:p>
        </w:tc>
        <w:tc>
          <w:tcPr>
            <w:tcW w:w="1373" w:type="pct"/>
            <w:tcBorders>
              <w:top w:val="single" w:sz="4" w:space="0" w:color="auto"/>
              <w:left w:val="single" w:sz="4" w:space="0" w:color="auto"/>
              <w:bottom w:val="single" w:sz="4" w:space="0" w:color="auto"/>
              <w:right w:val="single" w:sz="4" w:space="0" w:color="auto"/>
            </w:tcBorders>
          </w:tcPr>
          <w:p w14:paraId="34240CBD"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lastRenderedPageBreak/>
              <w:t xml:space="preserve">Records need to be kept in case of incidents occurring at events. The general limitation period for personal injury claims is 3 </w:t>
            </w:r>
            <w:r w:rsidRPr="00431A61">
              <w:rPr>
                <w:rFonts w:cstheme="minorHAnsi"/>
                <w:sz w:val="20"/>
                <w:szCs w:val="20"/>
              </w:rPr>
              <w:lastRenderedPageBreak/>
              <w:t>years from the date of incident or 3 years from a child’s 18</w:t>
            </w:r>
            <w:r w:rsidRPr="00431A61">
              <w:rPr>
                <w:rFonts w:cstheme="minorHAnsi"/>
                <w:sz w:val="20"/>
                <w:szCs w:val="20"/>
                <w:vertAlign w:val="superscript"/>
              </w:rPr>
              <w:t>th</w:t>
            </w:r>
            <w:r w:rsidRPr="00431A61">
              <w:rPr>
                <w:rFonts w:cstheme="minorHAnsi"/>
                <w:sz w:val="20"/>
                <w:szCs w:val="20"/>
              </w:rPr>
              <w:t xml:space="preserve"> birthday, if a child has been injured.  Incidents may not be reported contemporaneously, so these records need should be kept for 3-years post-event/activity in case a claim is made.</w:t>
            </w:r>
          </w:p>
          <w:p w14:paraId="66096E7F" w14:textId="77777777" w:rsidR="001E38BF" w:rsidRPr="00431A61" w:rsidRDefault="001E38BF" w:rsidP="00431A61">
            <w:pPr>
              <w:spacing w:line="276" w:lineRule="auto"/>
              <w:contextualSpacing/>
              <w:rPr>
                <w:rFonts w:cstheme="minorHAnsi"/>
                <w:sz w:val="20"/>
                <w:szCs w:val="20"/>
              </w:rPr>
            </w:pPr>
          </w:p>
          <w:p w14:paraId="12E0F50D" w14:textId="77777777" w:rsidR="001E38BF" w:rsidRPr="00431A61" w:rsidRDefault="001E38BF" w:rsidP="00431A61">
            <w:pPr>
              <w:spacing w:line="276" w:lineRule="auto"/>
              <w:contextualSpacing/>
              <w:rPr>
                <w:rFonts w:cstheme="minorHAnsi"/>
                <w:sz w:val="20"/>
                <w:szCs w:val="20"/>
              </w:rPr>
            </w:pPr>
          </w:p>
          <w:p w14:paraId="5B25B150"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Case 6</w:t>
            </w:r>
          </w:p>
          <w:p w14:paraId="50102FBD"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 xml:space="preserve">Where an incident has occurred, the record should be kept for the full limitation period. </w:t>
            </w:r>
          </w:p>
          <w:p w14:paraId="18045229" w14:textId="77777777" w:rsidR="001E38BF" w:rsidRPr="00431A61" w:rsidRDefault="001E38BF" w:rsidP="00431A61">
            <w:pPr>
              <w:spacing w:line="276" w:lineRule="auto"/>
              <w:contextualSpacing/>
              <w:rPr>
                <w:rFonts w:cstheme="minorHAnsi"/>
                <w:sz w:val="20"/>
                <w:szCs w:val="20"/>
              </w:rPr>
            </w:pPr>
          </w:p>
          <w:p w14:paraId="78D0A2F7"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NB If a safeguarding file is opened in relation to an incident, the IRF may be transferred onto that file and the retention period for that file will apply.</w:t>
            </w:r>
          </w:p>
          <w:p w14:paraId="7708E725" w14:textId="77777777" w:rsidR="001E38BF" w:rsidRPr="00431A61" w:rsidRDefault="001E38BF" w:rsidP="00431A61">
            <w:pPr>
              <w:spacing w:line="276" w:lineRule="auto"/>
              <w:contextualSpacing/>
              <w:rPr>
                <w:rFonts w:cstheme="minorHAnsi"/>
                <w:color w:val="FF0000"/>
                <w:sz w:val="20"/>
                <w:szCs w:val="20"/>
              </w:rPr>
            </w:pPr>
          </w:p>
        </w:tc>
      </w:tr>
      <w:tr w:rsidR="001E38BF" w:rsidRPr="00431A61" w14:paraId="2F93632C" w14:textId="77777777" w:rsidTr="00F1674F">
        <w:tc>
          <w:tcPr>
            <w:tcW w:w="2248" w:type="pct"/>
            <w:tcBorders>
              <w:top w:val="single" w:sz="4" w:space="0" w:color="auto"/>
              <w:left w:val="single" w:sz="4" w:space="0" w:color="auto"/>
              <w:bottom w:val="single" w:sz="4" w:space="0" w:color="auto"/>
              <w:right w:val="single" w:sz="4" w:space="0" w:color="auto"/>
            </w:tcBorders>
          </w:tcPr>
          <w:p w14:paraId="13CFE0E6" w14:textId="77777777" w:rsidR="001E38BF" w:rsidRPr="00431A61" w:rsidRDefault="001E38BF" w:rsidP="00431A61">
            <w:pPr>
              <w:spacing w:line="276" w:lineRule="auto"/>
              <w:contextualSpacing/>
              <w:rPr>
                <w:rFonts w:cstheme="minorHAnsi"/>
                <w:sz w:val="20"/>
                <w:szCs w:val="20"/>
                <w:u w:val="single"/>
              </w:rPr>
            </w:pPr>
            <w:r w:rsidRPr="00431A61">
              <w:rPr>
                <w:rFonts w:cstheme="minorHAnsi"/>
                <w:sz w:val="20"/>
                <w:szCs w:val="20"/>
                <w:u w:val="single"/>
              </w:rPr>
              <w:lastRenderedPageBreak/>
              <w:t>Personnel related files and records.  Records are likely to include, but are not restricted to:</w:t>
            </w:r>
          </w:p>
          <w:p w14:paraId="28F385DD" w14:textId="77777777" w:rsidR="001E38BF" w:rsidRPr="00431A61" w:rsidRDefault="001E38BF" w:rsidP="00431A61">
            <w:pPr>
              <w:spacing w:line="276" w:lineRule="auto"/>
              <w:contextualSpacing/>
              <w:rPr>
                <w:rFonts w:cstheme="minorHAnsi"/>
                <w:sz w:val="20"/>
                <w:szCs w:val="20"/>
              </w:rPr>
            </w:pPr>
          </w:p>
          <w:p w14:paraId="21632C81" w14:textId="3F3CCB60" w:rsidR="001E38BF" w:rsidRPr="00431A61" w:rsidRDefault="001E38BF" w:rsidP="00431A61">
            <w:pPr>
              <w:spacing w:line="276" w:lineRule="auto"/>
              <w:contextualSpacing/>
              <w:rPr>
                <w:rFonts w:cstheme="minorHAnsi"/>
                <w:sz w:val="20"/>
                <w:szCs w:val="20"/>
              </w:rPr>
            </w:pPr>
            <w:r w:rsidRPr="00431A61">
              <w:rPr>
                <w:rFonts w:cstheme="minorHAnsi"/>
                <w:sz w:val="20"/>
                <w:szCs w:val="20"/>
              </w:rPr>
              <w:t xml:space="preserve">*Electronic entries on the </w:t>
            </w:r>
            <w:r w:rsidR="00B62E0E" w:rsidRPr="00431A61">
              <w:rPr>
                <w:rFonts w:cstheme="minorHAnsi"/>
                <w:sz w:val="20"/>
                <w:szCs w:val="20"/>
              </w:rPr>
              <w:t>CSSA</w:t>
            </w:r>
            <w:r w:rsidRPr="00431A61">
              <w:rPr>
                <w:rFonts w:cstheme="minorHAnsi"/>
                <w:sz w:val="20"/>
                <w:szCs w:val="20"/>
              </w:rPr>
              <w:t xml:space="preserve"> DBS Database</w:t>
            </w:r>
          </w:p>
          <w:p w14:paraId="74AF13B2" w14:textId="77777777" w:rsidR="001E38BF" w:rsidRPr="00431A61" w:rsidRDefault="001E38BF" w:rsidP="00431A61">
            <w:pPr>
              <w:spacing w:line="276" w:lineRule="auto"/>
              <w:contextualSpacing/>
              <w:rPr>
                <w:rFonts w:cstheme="minorHAnsi"/>
                <w:sz w:val="20"/>
                <w:szCs w:val="20"/>
              </w:rPr>
            </w:pPr>
          </w:p>
          <w:p w14:paraId="7B9394C3"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DBS 1 – Volunteer registration form</w:t>
            </w:r>
          </w:p>
          <w:p w14:paraId="67BEFBD7" w14:textId="77777777" w:rsidR="001E38BF" w:rsidRPr="00431A61" w:rsidRDefault="001E38BF" w:rsidP="00431A61">
            <w:pPr>
              <w:spacing w:line="276" w:lineRule="auto"/>
              <w:contextualSpacing/>
              <w:rPr>
                <w:rFonts w:cstheme="minorHAnsi"/>
                <w:sz w:val="20"/>
                <w:szCs w:val="20"/>
              </w:rPr>
            </w:pPr>
          </w:p>
          <w:p w14:paraId="24D062D0"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DBS 2 – Volunteer reference form</w:t>
            </w:r>
          </w:p>
          <w:p w14:paraId="696B9B21" w14:textId="77777777" w:rsidR="001E38BF" w:rsidRPr="00431A61" w:rsidRDefault="001E38BF" w:rsidP="00431A61">
            <w:pPr>
              <w:spacing w:line="276" w:lineRule="auto"/>
              <w:contextualSpacing/>
              <w:rPr>
                <w:rFonts w:cstheme="minorHAnsi"/>
                <w:sz w:val="20"/>
                <w:szCs w:val="20"/>
              </w:rPr>
            </w:pPr>
          </w:p>
          <w:p w14:paraId="602B2B76"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 xml:space="preserve">**DBS 3 – ID verification form </w:t>
            </w:r>
          </w:p>
          <w:p w14:paraId="732F2BF9" w14:textId="77777777" w:rsidR="001E38BF" w:rsidRPr="00431A61" w:rsidRDefault="001E38BF" w:rsidP="00431A61">
            <w:pPr>
              <w:spacing w:line="276" w:lineRule="auto"/>
              <w:contextualSpacing/>
              <w:rPr>
                <w:rFonts w:cstheme="minorHAnsi"/>
                <w:sz w:val="20"/>
                <w:szCs w:val="20"/>
              </w:rPr>
            </w:pPr>
          </w:p>
          <w:p w14:paraId="73B6F50D"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***DBS 4 – Safeguarding self-declaration form</w:t>
            </w:r>
          </w:p>
          <w:p w14:paraId="4CE3EED4" w14:textId="77777777" w:rsidR="001E38BF" w:rsidRPr="00431A61" w:rsidRDefault="001E38BF" w:rsidP="00431A61">
            <w:pPr>
              <w:spacing w:line="276" w:lineRule="auto"/>
              <w:contextualSpacing/>
              <w:rPr>
                <w:rFonts w:cstheme="minorHAnsi"/>
                <w:sz w:val="20"/>
                <w:szCs w:val="20"/>
              </w:rPr>
            </w:pPr>
          </w:p>
          <w:p w14:paraId="5F4E25A3"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DBS 5 – Withdrawal of consent to undertake DBS online Update Service checks</w:t>
            </w:r>
          </w:p>
          <w:p w14:paraId="5406CA43" w14:textId="77777777" w:rsidR="001E38BF" w:rsidRPr="00431A61" w:rsidRDefault="001E38BF" w:rsidP="00431A61">
            <w:pPr>
              <w:spacing w:line="276" w:lineRule="auto"/>
              <w:contextualSpacing/>
              <w:rPr>
                <w:rFonts w:cstheme="minorHAnsi"/>
                <w:sz w:val="20"/>
                <w:szCs w:val="20"/>
              </w:rPr>
            </w:pPr>
          </w:p>
          <w:p w14:paraId="238A4355"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 xml:space="preserve">DBS 9 – Confidentiality Agreement for individuals handling DBS Disclosure </w:t>
            </w:r>
            <w:r w:rsidRPr="00431A61">
              <w:rPr>
                <w:rFonts w:cstheme="minorHAnsi"/>
                <w:sz w:val="20"/>
                <w:szCs w:val="20"/>
              </w:rPr>
              <w:lastRenderedPageBreak/>
              <w:t>information and accessing the national database</w:t>
            </w:r>
          </w:p>
          <w:p w14:paraId="0A45E94D" w14:textId="77777777" w:rsidR="001E38BF" w:rsidRPr="00431A61" w:rsidRDefault="001E38BF" w:rsidP="00431A61">
            <w:pPr>
              <w:spacing w:line="276" w:lineRule="auto"/>
              <w:contextualSpacing/>
              <w:rPr>
                <w:rFonts w:cstheme="minorHAnsi"/>
                <w:sz w:val="20"/>
                <w:szCs w:val="20"/>
              </w:rPr>
            </w:pPr>
          </w:p>
          <w:p w14:paraId="3713E526" w14:textId="77777777" w:rsidR="001E38BF" w:rsidRPr="00431A61" w:rsidRDefault="001E38BF" w:rsidP="00431A61">
            <w:pPr>
              <w:spacing w:line="276" w:lineRule="auto"/>
              <w:contextualSpacing/>
              <w:rPr>
                <w:rFonts w:cstheme="minorHAnsi"/>
                <w:color w:val="000000"/>
                <w:sz w:val="20"/>
                <w:szCs w:val="20"/>
                <w:shd w:val="clear" w:color="auto" w:fill="E1F4FF"/>
              </w:rPr>
            </w:pPr>
            <w:r w:rsidRPr="00431A61">
              <w:rPr>
                <w:rFonts w:cstheme="minorHAnsi"/>
                <w:sz w:val="20"/>
                <w:szCs w:val="20"/>
              </w:rPr>
              <w:t xml:space="preserve">DBS 10 – Counter-signatory agreement between Catholic dioceses/religious congregations in relation to the provision of DBS Disclosures </w:t>
            </w:r>
          </w:p>
          <w:p w14:paraId="114AA2CC" w14:textId="77777777" w:rsidR="001E38BF" w:rsidRPr="00431A61" w:rsidRDefault="001E38BF" w:rsidP="00431A61">
            <w:pPr>
              <w:spacing w:line="276" w:lineRule="auto"/>
              <w:contextualSpacing/>
              <w:rPr>
                <w:rFonts w:cstheme="minorHAnsi"/>
                <w:color w:val="000000"/>
                <w:sz w:val="20"/>
                <w:szCs w:val="20"/>
                <w:shd w:val="clear" w:color="auto" w:fill="E1F4FF"/>
              </w:rPr>
            </w:pPr>
          </w:p>
          <w:p w14:paraId="7754243A" w14:textId="275EB765" w:rsidR="001E38BF" w:rsidRPr="00431A61" w:rsidRDefault="001E38BF" w:rsidP="00431A61">
            <w:pPr>
              <w:spacing w:line="276" w:lineRule="auto"/>
              <w:contextualSpacing/>
              <w:rPr>
                <w:rFonts w:cstheme="minorHAnsi"/>
                <w:sz w:val="20"/>
                <w:szCs w:val="20"/>
              </w:rPr>
            </w:pPr>
            <w:r w:rsidRPr="00431A61">
              <w:rPr>
                <w:rFonts w:cstheme="minorHAnsi"/>
                <w:sz w:val="20"/>
                <w:szCs w:val="20"/>
              </w:rPr>
              <w:t xml:space="preserve">DBS 11 – Request for a new counter-signatory to be added to the </w:t>
            </w:r>
            <w:r w:rsidR="00B62E0E" w:rsidRPr="00431A61">
              <w:rPr>
                <w:rFonts w:cstheme="minorHAnsi"/>
                <w:sz w:val="20"/>
                <w:szCs w:val="20"/>
              </w:rPr>
              <w:t>CSSA</w:t>
            </w:r>
            <w:r w:rsidRPr="00431A61">
              <w:rPr>
                <w:rFonts w:cstheme="minorHAnsi"/>
                <w:sz w:val="20"/>
                <w:szCs w:val="20"/>
              </w:rPr>
              <w:t xml:space="preserve"> Registered Body account</w:t>
            </w:r>
          </w:p>
          <w:p w14:paraId="71FEC725" w14:textId="77777777" w:rsidR="001E38BF" w:rsidRPr="00431A61" w:rsidRDefault="001E38BF" w:rsidP="00431A61">
            <w:pPr>
              <w:spacing w:line="276" w:lineRule="auto"/>
              <w:contextualSpacing/>
              <w:rPr>
                <w:rFonts w:cstheme="minorHAnsi"/>
                <w:sz w:val="20"/>
                <w:szCs w:val="20"/>
              </w:rPr>
            </w:pPr>
          </w:p>
          <w:p w14:paraId="562ABCDE" w14:textId="6D3352C3" w:rsidR="001E38BF" w:rsidRPr="00431A61" w:rsidRDefault="001E38BF" w:rsidP="00431A61">
            <w:pPr>
              <w:spacing w:line="276" w:lineRule="auto"/>
              <w:contextualSpacing/>
              <w:rPr>
                <w:rFonts w:cstheme="minorHAnsi"/>
                <w:sz w:val="20"/>
                <w:szCs w:val="20"/>
              </w:rPr>
            </w:pPr>
            <w:r w:rsidRPr="00431A61">
              <w:rPr>
                <w:rFonts w:cstheme="minorHAnsi"/>
                <w:sz w:val="20"/>
                <w:szCs w:val="20"/>
              </w:rPr>
              <w:t xml:space="preserve">DBS 12 – Request for removal of a counter-signatory from the </w:t>
            </w:r>
            <w:r w:rsidR="00B62E0E" w:rsidRPr="00431A61">
              <w:rPr>
                <w:rFonts w:cstheme="minorHAnsi"/>
                <w:sz w:val="20"/>
                <w:szCs w:val="20"/>
              </w:rPr>
              <w:t>CSSA</w:t>
            </w:r>
            <w:r w:rsidRPr="00431A61">
              <w:rPr>
                <w:rFonts w:cstheme="minorHAnsi"/>
                <w:sz w:val="20"/>
                <w:szCs w:val="20"/>
              </w:rPr>
              <w:t xml:space="preserve"> Registered Body account</w:t>
            </w:r>
          </w:p>
          <w:p w14:paraId="409C762D" w14:textId="77777777" w:rsidR="001E38BF" w:rsidRPr="00431A61" w:rsidRDefault="001E38BF" w:rsidP="00431A61">
            <w:pPr>
              <w:spacing w:line="276" w:lineRule="auto"/>
              <w:contextualSpacing/>
              <w:rPr>
                <w:rFonts w:cstheme="minorHAnsi"/>
                <w:sz w:val="20"/>
                <w:szCs w:val="20"/>
              </w:rPr>
            </w:pPr>
          </w:p>
          <w:p w14:paraId="4D6E7AE8"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 xml:space="preserve">DBS 13 – </w:t>
            </w:r>
            <w:proofErr w:type="spellStart"/>
            <w:r w:rsidRPr="00431A61">
              <w:rPr>
                <w:rFonts w:cstheme="minorHAnsi"/>
                <w:sz w:val="20"/>
                <w:szCs w:val="20"/>
              </w:rPr>
              <w:t>Ebulk</w:t>
            </w:r>
            <w:proofErr w:type="spellEnd"/>
            <w:r w:rsidRPr="00431A61">
              <w:rPr>
                <w:rFonts w:cstheme="minorHAnsi"/>
                <w:sz w:val="20"/>
                <w:szCs w:val="20"/>
              </w:rPr>
              <w:t xml:space="preserve"> user exit form</w:t>
            </w:r>
          </w:p>
          <w:p w14:paraId="226DF8F7" w14:textId="77777777" w:rsidR="001E38BF" w:rsidRPr="00431A61" w:rsidRDefault="001E38BF" w:rsidP="00431A61">
            <w:pPr>
              <w:spacing w:line="276" w:lineRule="auto"/>
              <w:contextualSpacing/>
              <w:rPr>
                <w:rFonts w:cstheme="minorHAnsi"/>
                <w:sz w:val="20"/>
                <w:szCs w:val="20"/>
              </w:rPr>
            </w:pPr>
          </w:p>
          <w:p w14:paraId="6FF4D7AC"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 xml:space="preserve">DBS 14 – </w:t>
            </w:r>
            <w:proofErr w:type="spellStart"/>
            <w:r w:rsidRPr="00431A61">
              <w:rPr>
                <w:rFonts w:cstheme="minorHAnsi"/>
                <w:sz w:val="20"/>
                <w:szCs w:val="20"/>
              </w:rPr>
              <w:t>Ebulk</w:t>
            </w:r>
            <w:proofErr w:type="spellEnd"/>
            <w:r w:rsidRPr="00431A61">
              <w:rPr>
                <w:rFonts w:cstheme="minorHAnsi"/>
                <w:sz w:val="20"/>
                <w:szCs w:val="20"/>
              </w:rPr>
              <w:t xml:space="preserve"> end-user agreement</w:t>
            </w:r>
          </w:p>
          <w:p w14:paraId="1F02C750" w14:textId="77777777" w:rsidR="001E38BF" w:rsidRPr="00431A61" w:rsidRDefault="001E38BF" w:rsidP="00431A61">
            <w:pPr>
              <w:spacing w:line="276" w:lineRule="auto"/>
              <w:contextualSpacing/>
              <w:rPr>
                <w:rFonts w:cstheme="minorHAnsi"/>
                <w:sz w:val="20"/>
                <w:szCs w:val="20"/>
              </w:rPr>
            </w:pPr>
          </w:p>
          <w:p w14:paraId="48A51C35" w14:textId="77777777" w:rsidR="001E38BF" w:rsidRPr="00431A61" w:rsidRDefault="001E38BF" w:rsidP="00431A61">
            <w:pPr>
              <w:spacing w:line="276" w:lineRule="auto"/>
              <w:contextualSpacing/>
              <w:rPr>
                <w:rFonts w:cstheme="minorHAnsi"/>
                <w:color w:val="000000"/>
                <w:sz w:val="20"/>
                <w:szCs w:val="20"/>
                <w:shd w:val="clear" w:color="auto" w:fill="E1F4FF"/>
              </w:rPr>
            </w:pPr>
            <w:r w:rsidRPr="00431A61">
              <w:rPr>
                <w:rFonts w:cstheme="minorHAnsi"/>
                <w:sz w:val="20"/>
                <w:szCs w:val="20"/>
              </w:rPr>
              <w:t>Blemished DBS Disclosure risk assessment form</w:t>
            </w:r>
          </w:p>
          <w:p w14:paraId="0137F66C" w14:textId="77777777" w:rsidR="001E38BF" w:rsidRPr="00431A61" w:rsidRDefault="001E38BF" w:rsidP="00431A61">
            <w:pPr>
              <w:spacing w:line="276" w:lineRule="auto"/>
              <w:contextualSpacing/>
              <w:rPr>
                <w:rFonts w:cstheme="minorHAnsi"/>
                <w:sz w:val="20"/>
                <w:szCs w:val="20"/>
              </w:rPr>
            </w:pPr>
          </w:p>
          <w:p w14:paraId="5AF5468E"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CASE 1 – Written Agreement for volunteers which indicates that they have read and understood their job description and agree to adhere to national safeguarding procedures</w:t>
            </w:r>
          </w:p>
          <w:p w14:paraId="0EA08DB5" w14:textId="77777777" w:rsidR="001E38BF" w:rsidRPr="00431A61" w:rsidRDefault="001E38BF" w:rsidP="00431A61">
            <w:pPr>
              <w:spacing w:line="276" w:lineRule="auto"/>
              <w:contextualSpacing/>
              <w:rPr>
                <w:rFonts w:cstheme="minorHAnsi"/>
                <w:sz w:val="20"/>
                <w:szCs w:val="20"/>
              </w:rPr>
            </w:pPr>
          </w:p>
          <w:p w14:paraId="406908B5"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Case 9 – Declaration that the volunteer has understood the safeguarding procedures</w:t>
            </w:r>
          </w:p>
          <w:p w14:paraId="187FEB30" w14:textId="77777777" w:rsidR="001E38BF" w:rsidRPr="00431A61" w:rsidRDefault="001E38BF" w:rsidP="00431A61">
            <w:pPr>
              <w:spacing w:line="276" w:lineRule="auto"/>
              <w:contextualSpacing/>
              <w:rPr>
                <w:rFonts w:cstheme="minorHAnsi"/>
                <w:sz w:val="20"/>
                <w:szCs w:val="20"/>
              </w:rPr>
            </w:pPr>
          </w:p>
          <w:p w14:paraId="7E6E4555"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 xml:space="preserve">Testimonials of suitability </w:t>
            </w:r>
          </w:p>
          <w:p w14:paraId="6766D738" w14:textId="77777777" w:rsidR="001E38BF" w:rsidRPr="00431A61" w:rsidRDefault="001E38BF" w:rsidP="00431A61">
            <w:pPr>
              <w:spacing w:line="276" w:lineRule="auto"/>
              <w:contextualSpacing/>
              <w:rPr>
                <w:rFonts w:cstheme="minorHAnsi"/>
                <w:sz w:val="20"/>
                <w:szCs w:val="20"/>
              </w:rPr>
            </w:pPr>
          </w:p>
          <w:p w14:paraId="6F5B7D98"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Form 1 – Supervision Agreement</w:t>
            </w:r>
          </w:p>
          <w:p w14:paraId="23EE32E5" w14:textId="77777777" w:rsidR="001E38BF" w:rsidRPr="00431A61" w:rsidRDefault="001E38BF" w:rsidP="00431A61">
            <w:pPr>
              <w:spacing w:line="276" w:lineRule="auto"/>
              <w:contextualSpacing/>
              <w:rPr>
                <w:rFonts w:cstheme="minorHAnsi"/>
                <w:sz w:val="20"/>
                <w:szCs w:val="20"/>
              </w:rPr>
            </w:pPr>
          </w:p>
          <w:p w14:paraId="04234CA4"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Form 3 – Record of supervision</w:t>
            </w:r>
          </w:p>
          <w:p w14:paraId="593FF410" w14:textId="77777777" w:rsidR="001E38BF" w:rsidRPr="00431A61" w:rsidRDefault="001E38BF" w:rsidP="00431A61">
            <w:pPr>
              <w:spacing w:line="276" w:lineRule="auto"/>
              <w:contextualSpacing/>
              <w:rPr>
                <w:rFonts w:cstheme="minorHAnsi"/>
                <w:sz w:val="20"/>
                <w:szCs w:val="20"/>
              </w:rPr>
            </w:pPr>
          </w:p>
          <w:p w14:paraId="0582E468"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Form 4 – Record of individual case discussion</w:t>
            </w:r>
          </w:p>
          <w:p w14:paraId="09810E0D" w14:textId="77777777" w:rsidR="001E38BF" w:rsidRPr="00431A61" w:rsidRDefault="001E38BF" w:rsidP="00431A61">
            <w:pPr>
              <w:spacing w:line="276" w:lineRule="auto"/>
              <w:contextualSpacing/>
              <w:rPr>
                <w:rFonts w:cstheme="minorHAnsi"/>
                <w:sz w:val="20"/>
                <w:szCs w:val="20"/>
              </w:rPr>
            </w:pPr>
          </w:p>
          <w:p w14:paraId="3704B8E7"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Form A – Preparation by role holder for appraisal</w:t>
            </w:r>
          </w:p>
          <w:p w14:paraId="4B3647E4" w14:textId="77777777" w:rsidR="001E38BF" w:rsidRPr="00431A61" w:rsidRDefault="001E38BF" w:rsidP="00431A61">
            <w:pPr>
              <w:spacing w:line="276" w:lineRule="auto"/>
              <w:contextualSpacing/>
              <w:rPr>
                <w:rFonts w:cstheme="minorHAnsi"/>
                <w:sz w:val="20"/>
                <w:szCs w:val="20"/>
              </w:rPr>
            </w:pPr>
          </w:p>
          <w:p w14:paraId="7C70C4B9"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Form B – Preparation by supervisor for appraisal</w:t>
            </w:r>
          </w:p>
          <w:p w14:paraId="0D37F7AE" w14:textId="77777777" w:rsidR="001E38BF" w:rsidRPr="00431A61" w:rsidRDefault="001E38BF" w:rsidP="00431A61">
            <w:pPr>
              <w:spacing w:line="276" w:lineRule="auto"/>
              <w:contextualSpacing/>
              <w:rPr>
                <w:rFonts w:cstheme="minorHAnsi"/>
                <w:sz w:val="20"/>
                <w:szCs w:val="20"/>
              </w:rPr>
            </w:pPr>
          </w:p>
          <w:p w14:paraId="37257519"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lastRenderedPageBreak/>
              <w:t>Form C – Annual appraisal summary</w:t>
            </w:r>
          </w:p>
          <w:p w14:paraId="330A2456" w14:textId="77777777" w:rsidR="001E38BF" w:rsidRPr="00431A61" w:rsidRDefault="001E38BF" w:rsidP="00431A61">
            <w:pPr>
              <w:spacing w:line="276" w:lineRule="auto"/>
              <w:contextualSpacing/>
              <w:rPr>
                <w:rFonts w:cstheme="minorHAnsi"/>
                <w:sz w:val="20"/>
                <w:szCs w:val="20"/>
              </w:rPr>
            </w:pPr>
          </w:p>
        </w:tc>
        <w:tc>
          <w:tcPr>
            <w:tcW w:w="1379" w:type="pct"/>
            <w:tcBorders>
              <w:top w:val="single" w:sz="4" w:space="0" w:color="auto"/>
              <w:left w:val="single" w:sz="4" w:space="0" w:color="auto"/>
              <w:bottom w:val="single" w:sz="4" w:space="0" w:color="auto"/>
              <w:right w:val="single" w:sz="4" w:space="0" w:color="auto"/>
            </w:tcBorders>
          </w:tcPr>
          <w:p w14:paraId="2720D26F"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lastRenderedPageBreak/>
              <w:t xml:space="preserve">10 years and 1 day after person leaves their role.  </w:t>
            </w:r>
          </w:p>
          <w:p w14:paraId="3135A1F9" w14:textId="77777777" w:rsidR="001E38BF" w:rsidRPr="00431A61" w:rsidRDefault="001E38BF" w:rsidP="00431A61">
            <w:pPr>
              <w:spacing w:line="276" w:lineRule="auto"/>
              <w:contextualSpacing/>
              <w:rPr>
                <w:rFonts w:cstheme="minorHAnsi"/>
                <w:sz w:val="20"/>
                <w:szCs w:val="20"/>
              </w:rPr>
            </w:pPr>
          </w:p>
          <w:p w14:paraId="7193A964"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*Where a case file is opened, the entries on the DBS Database e.g. date of check and existence of a risk assessment, should be recorded on the case file before the electronic record is destroyed</w:t>
            </w:r>
          </w:p>
          <w:p w14:paraId="48D65CA9" w14:textId="77777777" w:rsidR="001E38BF" w:rsidRPr="00431A61" w:rsidRDefault="001E38BF" w:rsidP="00431A61">
            <w:pPr>
              <w:spacing w:line="276" w:lineRule="auto"/>
              <w:contextualSpacing/>
              <w:rPr>
                <w:rFonts w:cstheme="minorHAnsi"/>
                <w:sz w:val="20"/>
                <w:szCs w:val="20"/>
              </w:rPr>
            </w:pPr>
          </w:p>
          <w:p w14:paraId="62AD98A2"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**Existing DBS 3 forms can be destroyed when a new form is completed.</w:t>
            </w:r>
          </w:p>
          <w:p w14:paraId="38C56581" w14:textId="77777777" w:rsidR="001E38BF" w:rsidRPr="00431A61" w:rsidRDefault="001E38BF" w:rsidP="00431A61">
            <w:pPr>
              <w:spacing w:line="276" w:lineRule="auto"/>
              <w:contextualSpacing/>
              <w:rPr>
                <w:rFonts w:cstheme="minorHAnsi"/>
                <w:sz w:val="20"/>
                <w:szCs w:val="20"/>
              </w:rPr>
            </w:pPr>
          </w:p>
          <w:p w14:paraId="07D3D9DD"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 xml:space="preserve">***Existing DBS4 forms can be destroyed when a new Disclosure application has </w:t>
            </w:r>
            <w:r w:rsidRPr="00431A61">
              <w:rPr>
                <w:rFonts w:cstheme="minorHAnsi"/>
                <w:sz w:val="20"/>
                <w:szCs w:val="20"/>
              </w:rPr>
              <w:lastRenderedPageBreak/>
              <w:t>been completed and any queries about Disclosure content and prior self-disclosure have been resolved.</w:t>
            </w:r>
          </w:p>
          <w:p w14:paraId="65599826" w14:textId="77777777" w:rsidR="001E38BF" w:rsidRPr="00431A61" w:rsidRDefault="001E38BF" w:rsidP="00431A61">
            <w:pPr>
              <w:spacing w:line="276" w:lineRule="auto"/>
              <w:contextualSpacing/>
              <w:rPr>
                <w:rFonts w:cstheme="minorHAnsi"/>
                <w:sz w:val="20"/>
                <w:szCs w:val="20"/>
              </w:rPr>
            </w:pPr>
          </w:p>
          <w:p w14:paraId="392ED1BB" w14:textId="77777777" w:rsidR="001E38BF" w:rsidRPr="00431A61" w:rsidRDefault="001E38BF" w:rsidP="00431A61">
            <w:pPr>
              <w:spacing w:line="276" w:lineRule="auto"/>
              <w:contextualSpacing/>
              <w:rPr>
                <w:rFonts w:cstheme="minorHAnsi"/>
                <w:sz w:val="20"/>
                <w:szCs w:val="20"/>
              </w:rPr>
            </w:pPr>
          </w:p>
          <w:p w14:paraId="5430CA4D" w14:textId="77777777" w:rsidR="001E38BF" w:rsidRPr="00431A61" w:rsidRDefault="001E38BF" w:rsidP="00431A61">
            <w:pPr>
              <w:spacing w:before="300" w:after="300" w:line="276" w:lineRule="auto"/>
              <w:rPr>
                <w:rFonts w:eastAsia="Times New Roman" w:cstheme="minorHAnsi"/>
                <w:color w:val="0B0C0C"/>
                <w:sz w:val="20"/>
                <w:szCs w:val="20"/>
                <w:lang w:eastAsia="en-GB"/>
              </w:rPr>
            </w:pPr>
            <w:r w:rsidRPr="00431A61">
              <w:rPr>
                <w:rFonts w:eastAsia="Times New Roman" w:cstheme="minorHAnsi"/>
                <w:color w:val="0B0C0C"/>
                <w:sz w:val="20"/>
                <w:szCs w:val="20"/>
                <w:lang w:eastAsia="en-GB"/>
              </w:rPr>
              <w:t>Once a recruitment (or other relevant) decision has been made, do not keep certificate information for any longer than is necessary e.g. to allow for the consideration and resolution of any disputes or complaints.  Throughout this time, the usual conditions regarding the safe storage and strictly controlled access must prevail.</w:t>
            </w:r>
          </w:p>
          <w:p w14:paraId="6ECDBDDE" w14:textId="77777777" w:rsidR="001E38BF" w:rsidRPr="00431A61" w:rsidRDefault="001E38BF" w:rsidP="00431A61">
            <w:pPr>
              <w:spacing w:line="276" w:lineRule="auto"/>
              <w:contextualSpacing/>
              <w:rPr>
                <w:rFonts w:cstheme="minorHAnsi"/>
                <w:sz w:val="20"/>
                <w:szCs w:val="20"/>
              </w:rPr>
            </w:pPr>
          </w:p>
          <w:p w14:paraId="65F9DBF1" w14:textId="77777777" w:rsidR="001E38BF" w:rsidRPr="00431A61" w:rsidRDefault="001E38BF" w:rsidP="00431A61">
            <w:pPr>
              <w:spacing w:line="276" w:lineRule="auto"/>
              <w:contextualSpacing/>
              <w:rPr>
                <w:rFonts w:cstheme="minorHAnsi"/>
                <w:sz w:val="20"/>
                <w:szCs w:val="20"/>
              </w:rPr>
            </w:pPr>
          </w:p>
        </w:tc>
        <w:tc>
          <w:tcPr>
            <w:tcW w:w="1373" w:type="pct"/>
            <w:tcBorders>
              <w:top w:val="single" w:sz="4" w:space="0" w:color="auto"/>
              <w:left w:val="single" w:sz="4" w:space="0" w:color="auto"/>
              <w:bottom w:val="single" w:sz="4" w:space="0" w:color="auto"/>
              <w:right w:val="single" w:sz="4" w:space="0" w:color="auto"/>
            </w:tcBorders>
            <w:hideMark/>
          </w:tcPr>
          <w:p w14:paraId="3D7794C7"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lastRenderedPageBreak/>
              <w:t>We know that people often do not tell the Church about concerns or abuse for many years after it is said to have occurred.  For this reason, we retain records on volunteers and safeguarding roles for a ten-year period after they leave their role, or at least six years following death if this is sooner.</w:t>
            </w:r>
          </w:p>
        </w:tc>
      </w:tr>
      <w:tr w:rsidR="001E38BF" w:rsidRPr="00431A61" w14:paraId="1B3485AB" w14:textId="77777777" w:rsidTr="00F1674F">
        <w:tc>
          <w:tcPr>
            <w:tcW w:w="2248" w:type="pct"/>
            <w:tcBorders>
              <w:top w:val="single" w:sz="4" w:space="0" w:color="auto"/>
              <w:left w:val="single" w:sz="4" w:space="0" w:color="auto"/>
              <w:bottom w:val="single" w:sz="4" w:space="0" w:color="auto"/>
              <w:right w:val="single" w:sz="4" w:space="0" w:color="auto"/>
            </w:tcBorders>
            <w:hideMark/>
          </w:tcPr>
          <w:p w14:paraId="44505066"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lastRenderedPageBreak/>
              <w:t>DBS15 – Information security incident form (data breach)</w:t>
            </w:r>
          </w:p>
        </w:tc>
        <w:tc>
          <w:tcPr>
            <w:tcW w:w="1379" w:type="pct"/>
            <w:tcBorders>
              <w:top w:val="single" w:sz="4" w:space="0" w:color="auto"/>
              <w:left w:val="single" w:sz="4" w:space="0" w:color="auto"/>
              <w:bottom w:val="single" w:sz="4" w:space="0" w:color="auto"/>
              <w:right w:val="single" w:sz="4" w:space="0" w:color="auto"/>
            </w:tcBorders>
            <w:hideMark/>
          </w:tcPr>
          <w:p w14:paraId="5829227C"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6 years after date of incident</w:t>
            </w:r>
          </w:p>
        </w:tc>
        <w:tc>
          <w:tcPr>
            <w:tcW w:w="1373" w:type="pct"/>
            <w:tcBorders>
              <w:top w:val="single" w:sz="4" w:space="0" w:color="auto"/>
              <w:left w:val="single" w:sz="4" w:space="0" w:color="auto"/>
              <w:bottom w:val="single" w:sz="4" w:space="0" w:color="auto"/>
              <w:right w:val="single" w:sz="4" w:space="0" w:color="auto"/>
            </w:tcBorders>
          </w:tcPr>
          <w:p w14:paraId="3D1CC930" w14:textId="77777777" w:rsidR="001E38BF" w:rsidRPr="00431A61" w:rsidRDefault="001E38BF" w:rsidP="00431A61">
            <w:pPr>
              <w:spacing w:line="276" w:lineRule="auto"/>
              <w:contextualSpacing/>
              <w:rPr>
                <w:rFonts w:cstheme="minorHAnsi"/>
                <w:sz w:val="20"/>
                <w:szCs w:val="20"/>
              </w:rPr>
            </w:pPr>
            <w:r w:rsidRPr="00431A61">
              <w:rPr>
                <w:rFonts w:cstheme="minorHAnsi"/>
                <w:sz w:val="20"/>
                <w:szCs w:val="20"/>
              </w:rPr>
              <w:t>Data Subjects affected by an information security breach have up to 6 years from the date of the breach to bring a claim.</w:t>
            </w:r>
          </w:p>
          <w:p w14:paraId="145EFD9F" w14:textId="77777777" w:rsidR="001E38BF" w:rsidRPr="00431A61" w:rsidRDefault="001E38BF" w:rsidP="00431A61">
            <w:pPr>
              <w:spacing w:line="276" w:lineRule="auto"/>
              <w:contextualSpacing/>
              <w:rPr>
                <w:rFonts w:cstheme="minorHAnsi"/>
                <w:color w:val="FF0000"/>
                <w:sz w:val="20"/>
                <w:szCs w:val="20"/>
              </w:rPr>
            </w:pPr>
          </w:p>
        </w:tc>
      </w:tr>
    </w:tbl>
    <w:p w14:paraId="636BAEC8" w14:textId="7E478D70" w:rsidR="001E38BF" w:rsidRPr="00431A61" w:rsidRDefault="001E38BF" w:rsidP="00431A61">
      <w:pPr>
        <w:spacing w:line="276" w:lineRule="auto"/>
        <w:rPr>
          <w:rFonts w:asciiTheme="minorHAnsi" w:hAnsiTheme="minorHAnsi" w:cstheme="minorHAnsi"/>
          <w:sz w:val="20"/>
          <w:szCs w:val="20"/>
        </w:rPr>
      </w:pPr>
    </w:p>
    <w:sectPr w:rsidR="001E38BF" w:rsidRPr="00431A6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09AD9" w14:textId="77777777" w:rsidR="003A5175" w:rsidRDefault="003A5175" w:rsidP="00EC1F67">
      <w:pPr>
        <w:spacing w:after="0" w:line="240" w:lineRule="auto"/>
      </w:pPr>
      <w:r>
        <w:separator/>
      </w:r>
    </w:p>
  </w:endnote>
  <w:endnote w:type="continuationSeparator" w:id="0">
    <w:p w14:paraId="63AF2CDE" w14:textId="77777777" w:rsidR="003A5175" w:rsidRDefault="003A5175" w:rsidP="00EC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2262389"/>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7CCBD949" w14:textId="488413A7" w:rsidR="00DE5DD0" w:rsidRPr="00DE5DD0" w:rsidRDefault="00016B98">
            <w:pPr>
              <w:pStyle w:val="Footer"/>
              <w:jc w:val="right"/>
              <w:rPr>
                <w:b/>
                <w:bCs/>
                <w:sz w:val="20"/>
                <w:szCs w:val="20"/>
              </w:rPr>
            </w:pPr>
            <w:r w:rsidRPr="00DE5DD0">
              <w:rPr>
                <w:sz w:val="20"/>
                <w:szCs w:val="20"/>
              </w:rPr>
              <w:t xml:space="preserve">Page </w:t>
            </w:r>
            <w:r w:rsidRPr="00DE5DD0">
              <w:rPr>
                <w:b/>
                <w:bCs/>
                <w:sz w:val="20"/>
                <w:szCs w:val="20"/>
              </w:rPr>
              <w:fldChar w:fldCharType="begin"/>
            </w:r>
            <w:r w:rsidRPr="00DE5DD0">
              <w:rPr>
                <w:b/>
                <w:bCs/>
                <w:sz w:val="20"/>
                <w:szCs w:val="20"/>
              </w:rPr>
              <w:instrText xml:space="preserve"> PAGE </w:instrText>
            </w:r>
            <w:r w:rsidRPr="00DE5DD0">
              <w:rPr>
                <w:b/>
                <w:bCs/>
                <w:sz w:val="20"/>
                <w:szCs w:val="20"/>
              </w:rPr>
              <w:fldChar w:fldCharType="separate"/>
            </w:r>
            <w:r w:rsidR="007C339D">
              <w:rPr>
                <w:b/>
                <w:bCs/>
                <w:noProof/>
                <w:sz w:val="20"/>
                <w:szCs w:val="20"/>
              </w:rPr>
              <w:t>4</w:t>
            </w:r>
            <w:r w:rsidRPr="00DE5DD0">
              <w:rPr>
                <w:b/>
                <w:bCs/>
                <w:sz w:val="20"/>
                <w:szCs w:val="20"/>
              </w:rPr>
              <w:fldChar w:fldCharType="end"/>
            </w:r>
            <w:r w:rsidRPr="00DE5DD0">
              <w:rPr>
                <w:sz w:val="20"/>
                <w:szCs w:val="20"/>
              </w:rPr>
              <w:t xml:space="preserve"> of </w:t>
            </w:r>
            <w:r w:rsidRPr="00DE5DD0">
              <w:rPr>
                <w:b/>
                <w:bCs/>
                <w:sz w:val="20"/>
                <w:szCs w:val="20"/>
              </w:rPr>
              <w:fldChar w:fldCharType="begin"/>
            </w:r>
            <w:r w:rsidRPr="00DE5DD0">
              <w:rPr>
                <w:b/>
                <w:bCs/>
                <w:sz w:val="20"/>
                <w:szCs w:val="20"/>
              </w:rPr>
              <w:instrText xml:space="preserve"> NUMPAGES  </w:instrText>
            </w:r>
            <w:r w:rsidRPr="00DE5DD0">
              <w:rPr>
                <w:b/>
                <w:bCs/>
                <w:sz w:val="20"/>
                <w:szCs w:val="20"/>
              </w:rPr>
              <w:fldChar w:fldCharType="separate"/>
            </w:r>
            <w:r w:rsidR="007C339D">
              <w:rPr>
                <w:b/>
                <w:bCs/>
                <w:noProof/>
                <w:sz w:val="20"/>
                <w:szCs w:val="20"/>
              </w:rPr>
              <w:t>5</w:t>
            </w:r>
            <w:r w:rsidRPr="00DE5DD0">
              <w:rPr>
                <w:b/>
                <w:bCs/>
                <w:sz w:val="20"/>
                <w:szCs w:val="20"/>
              </w:rPr>
              <w:fldChar w:fldCharType="end"/>
            </w:r>
          </w:p>
          <w:p w14:paraId="0CBFB923" w14:textId="25A00A2C" w:rsidR="00ED274D" w:rsidRDefault="00431A61" w:rsidP="00DE5DD0">
            <w:pPr>
              <w:pStyle w:val="Footer"/>
              <w:rPr>
                <w:bCs/>
                <w:sz w:val="20"/>
                <w:szCs w:val="20"/>
              </w:rPr>
            </w:pPr>
            <w:r>
              <w:rPr>
                <w:bCs/>
                <w:sz w:val="20"/>
                <w:szCs w:val="20"/>
              </w:rPr>
              <w:t>October 2021</w:t>
            </w:r>
          </w:p>
          <w:p w14:paraId="12A31B35" w14:textId="575F137A" w:rsidR="00016B98" w:rsidRPr="00DE5DD0" w:rsidRDefault="003A5175" w:rsidP="00DE5DD0">
            <w:pPr>
              <w:pStyle w:val="Footer"/>
              <w:rPr>
                <w:sz w:val="20"/>
                <w:szCs w:val="20"/>
              </w:rPr>
            </w:pPr>
          </w:p>
        </w:sdtContent>
      </w:sdt>
    </w:sdtContent>
  </w:sdt>
  <w:p w14:paraId="571EDF1B" w14:textId="79A6E4C4" w:rsidR="00664045" w:rsidRDefault="00664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D2A12" w14:textId="77777777" w:rsidR="003A5175" w:rsidRDefault="003A5175" w:rsidP="00EC1F67">
      <w:pPr>
        <w:spacing w:after="0" w:line="240" w:lineRule="auto"/>
      </w:pPr>
      <w:r>
        <w:separator/>
      </w:r>
    </w:p>
  </w:footnote>
  <w:footnote w:type="continuationSeparator" w:id="0">
    <w:p w14:paraId="41E265BB" w14:textId="77777777" w:rsidR="003A5175" w:rsidRDefault="003A5175" w:rsidP="00EC1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DE1F0" w14:textId="46257BDE" w:rsidR="00EC1F67" w:rsidRDefault="00EC1F67">
    <w:pPr>
      <w:pStyle w:val="Header"/>
    </w:pPr>
    <w:r w:rsidRPr="005D428C">
      <w:rPr>
        <w:noProof/>
        <w:lang w:eastAsia="en-GB"/>
      </w:rPr>
      <w:drawing>
        <wp:anchor distT="0" distB="0" distL="114300" distR="114300" simplePos="0" relativeHeight="251659264" behindDoc="0" locked="0" layoutInCell="1" allowOverlap="1" wp14:anchorId="0AFAD918" wp14:editId="5130D0F6">
          <wp:simplePos x="0" y="0"/>
          <wp:positionH relativeFrom="margin">
            <wp:posOffset>5027930</wp:posOffset>
          </wp:positionH>
          <wp:positionV relativeFrom="margin">
            <wp:posOffset>-1447800</wp:posOffset>
          </wp:positionV>
          <wp:extent cx="1284605" cy="1371600"/>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1284605"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1B9034" w14:textId="70D74395" w:rsidR="00EC1F67" w:rsidRDefault="00EC1F67">
    <w:pPr>
      <w:pStyle w:val="Header"/>
    </w:pPr>
  </w:p>
  <w:p w14:paraId="78BD3005" w14:textId="77777777" w:rsidR="00EC1F67" w:rsidRDefault="00EC1F67">
    <w:pPr>
      <w:pStyle w:val="Header"/>
    </w:pPr>
  </w:p>
  <w:p w14:paraId="414DAFBC" w14:textId="77777777" w:rsidR="00EC1F67" w:rsidRDefault="00EC1F67">
    <w:pPr>
      <w:pStyle w:val="Header"/>
    </w:pPr>
  </w:p>
  <w:p w14:paraId="4167C161" w14:textId="77777777" w:rsidR="00EC1F67" w:rsidRDefault="00EC1F67">
    <w:pPr>
      <w:pStyle w:val="Header"/>
    </w:pPr>
  </w:p>
  <w:p w14:paraId="75B14791" w14:textId="77777777" w:rsidR="00EC1F67" w:rsidRDefault="00EC1F67">
    <w:pPr>
      <w:pStyle w:val="Header"/>
    </w:pPr>
  </w:p>
  <w:p w14:paraId="2B68869C" w14:textId="2464B2A0" w:rsidR="00EC1F67" w:rsidRDefault="00EC1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C1B3F"/>
    <w:multiLevelType w:val="hybridMultilevel"/>
    <w:tmpl w:val="D9DA182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F916B73"/>
    <w:multiLevelType w:val="multilevel"/>
    <w:tmpl w:val="CD689E5E"/>
    <w:lvl w:ilvl="0">
      <w:start w:val="2"/>
      <w:numFmt w:val="decimal"/>
      <w:lvlText w:val="%1"/>
      <w:lvlJc w:val="left"/>
      <w:pPr>
        <w:ind w:left="390" w:hanging="390"/>
      </w:pPr>
      <w:rPr>
        <w:rFonts w:hint="default"/>
      </w:rPr>
    </w:lvl>
    <w:lvl w:ilvl="1">
      <w:start w:val="3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C9476F"/>
    <w:multiLevelType w:val="multilevel"/>
    <w:tmpl w:val="60BC77CC"/>
    <w:lvl w:ilvl="0">
      <w:start w:val="1"/>
      <w:numFmt w:val="lowerLetter"/>
      <w:lvlText w:val="%1)"/>
      <w:lvlJc w:val="left"/>
      <w:pPr>
        <w:ind w:left="1080" w:hanging="360"/>
      </w:pPr>
      <w:rPr>
        <w:rFonts w:cs="Times New Roman"/>
      </w:rPr>
    </w:lvl>
    <w:lvl w:ilvl="1">
      <w:numFmt w:val="bullet"/>
      <w:lvlText w:val=""/>
      <w:lvlJc w:val="left"/>
      <w:pPr>
        <w:ind w:left="1440" w:hanging="360"/>
      </w:pPr>
      <w:rPr>
        <w:rFonts w:ascii="Symbol" w:hAnsi="Symbol"/>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3" w15:restartNumberingAfterBreak="0">
    <w:nsid w:val="1AF26A7A"/>
    <w:multiLevelType w:val="multilevel"/>
    <w:tmpl w:val="3CECBB6C"/>
    <w:lvl w:ilvl="0">
      <w:numFmt w:val="bullet"/>
      <w:lvlText w:val="·"/>
      <w:lvlJc w:val="left"/>
      <w:pPr>
        <w:tabs>
          <w:tab w:val="left" w:pos="360"/>
        </w:tabs>
        <w:ind w:left="0" w:firstLine="0"/>
      </w:pPr>
      <w:rPr>
        <w:rFonts w:ascii="Symbol" w:eastAsia="Symbol" w:hAnsi="Symbol"/>
        <w:color w:val="000000"/>
        <w:spacing w:val="-5"/>
        <w:w w:val="100"/>
        <w:sz w:val="23"/>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B7850BC"/>
    <w:multiLevelType w:val="multilevel"/>
    <w:tmpl w:val="C6343A56"/>
    <w:lvl w:ilvl="0">
      <w:start w:val="1"/>
      <w:numFmt w:val="lowerLetter"/>
      <w:lvlText w:val="(%1)"/>
      <w:lvlJc w:val="left"/>
      <w:pPr>
        <w:tabs>
          <w:tab w:val="left" w:pos="1728"/>
        </w:tabs>
        <w:ind w:left="1296" w:firstLine="0"/>
      </w:pPr>
      <w:rPr>
        <w:rFonts w:ascii="Arial" w:eastAsia="Calibri" w:hAnsi="Arial" w:cs="Arial" w:hint="default"/>
        <w:b w:val="0"/>
        <w:color w:val="000000"/>
        <w:spacing w:val="0"/>
        <w:w w:val="100"/>
        <w:sz w:val="20"/>
        <w:szCs w:val="20"/>
        <w:vertAlign w:val="baseline"/>
        <w:lang w:val="en-US"/>
      </w:rPr>
    </w:lvl>
    <w:lvl w:ilvl="1">
      <w:numFmt w:val="decimal"/>
      <w:lvlText w:val=""/>
      <w:lvlJc w:val="left"/>
      <w:pPr>
        <w:ind w:left="1296" w:firstLine="0"/>
      </w:pPr>
    </w:lvl>
    <w:lvl w:ilvl="2">
      <w:numFmt w:val="decimal"/>
      <w:lvlText w:val=""/>
      <w:lvlJc w:val="left"/>
      <w:pPr>
        <w:ind w:left="1296" w:firstLine="0"/>
      </w:pPr>
    </w:lvl>
    <w:lvl w:ilvl="3">
      <w:numFmt w:val="decimal"/>
      <w:lvlText w:val=""/>
      <w:lvlJc w:val="left"/>
      <w:pPr>
        <w:ind w:left="1296" w:firstLine="0"/>
      </w:pPr>
    </w:lvl>
    <w:lvl w:ilvl="4">
      <w:numFmt w:val="decimal"/>
      <w:lvlText w:val=""/>
      <w:lvlJc w:val="left"/>
      <w:pPr>
        <w:ind w:left="1296" w:firstLine="0"/>
      </w:pPr>
    </w:lvl>
    <w:lvl w:ilvl="5">
      <w:numFmt w:val="decimal"/>
      <w:lvlText w:val=""/>
      <w:lvlJc w:val="left"/>
      <w:pPr>
        <w:ind w:left="1296" w:firstLine="0"/>
      </w:pPr>
    </w:lvl>
    <w:lvl w:ilvl="6">
      <w:numFmt w:val="decimal"/>
      <w:lvlText w:val=""/>
      <w:lvlJc w:val="left"/>
      <w:pPr>
        <w:ind w:left="1296" w:firstLine="0"/>
      </w:pPr>
    </w:lvl>
    <w:lvl w:ilvl="7">
      <w:numFmt w:val="decimal"/>
      <w:lvlText w:val=""/>
      <w:lvlJc w:val="left"/>
      <w:pPr>
        <w:ind w:left="1296" w:firstLine="0"/>
      </w:pPr>
    </w:lvl>
    <w:lvl w:ilvl="8">
      <w:numFmt w:val="decimal"/>
      <w:lvlText w:val=""/>
      <w:lvlJc w:val="left"/>
      <w:pPr>
        <w:ind w:left="1296" w:firstLine="0"/>
      </w:pPr>
    </w:lvl>
  </w:abstractNum>
  <w:abstractNum w:abstractNumId="5" w15:restartNumberingAfterBreak="0">
    <w:nsid w:val="35621BC7"/>
    <w:multiLevelType w:val="multilevel"/>
    <w:tmpl w:val="A818123C"/>
    <w:lvl w:ilvl="0">
      <w:numFmt w:val="bullet"/>
      <w:lvlText w:val="·"/>
      <w:lvlJc w:val="left"/>
      <w:pPr>
        <w:tabs>
          <w:tab w:val="left" w:pos="1069"/>
        </w:tabs>
        <w:ind w:left="709" w:firstLine="0"/>
      </w:pPr>
      <w:rPr>
        <w:rFonts w:ascii="Symbol" w:eastAsia="Symbol" w:hAnsi="Symbol" w:hint="default"/>
        <w:b w:val="0"/>
        <w:color w:val="000000"/>
        <w:spacing w:val="-5"/>
        <w:w w:val="100"/>
        <w:sz w:val="23"/>
        <w:szCs w:val="20"/>
        <w:vertAlign w:val="baseline"/>
        <w:lang w:val="en-US"/>
      </w:rPr>
    </w:lvl>
    <w:lvl w:ilvl="1">
      <w:start w:val="1"/>
      <w:numFmt w:val="bullet"/>
      <w:lvlText w:val=""/>
      <w:lvlJc w:val="left"/>
      <w:pPr>
        <w:ind w:left="709" w:firstLine="0"/>
      </w:pPr>
      <w:rPr>
        <w:rFonts w:ascii="Symbol" w:hAnsi="Symbol" w:hint="default"/>
      </w:rPr>
    </w:lvl>
    <w:lvl w:ilvl="2">
      <w:numFmt w:val="decimal"/>
      <w:lvlText w:val=""/>
      <w:lvlJc w:val="left"/>
      <w:pPr>
        <w:ind w:left="709" w:firstLine="0"/>
      </w:pPr>
    </w:lvl>
    <w:lvl w:ilvl="3">
      <w:numFmt w:val="decimal"/>
      <w:lvlText w:val=""/>
      <w:lvlJc w:val="left"/>
      <w:pPr>
        <w:ind w:left="709" w:firstLine="0"/>
      </w:pPr>
    </w:lvl>
    <w:lvl w:ilvl="4">
      <w:numFmt w:val="decimal"/>
      <w:lvlText w:val=""/>
      <w:lvlJc w:val="left"/>
      <w:pPr>
        <w:ind w:left="709" w:firstLine="0"/>
      </w:pPr>
    </w:lvl>
    <w:lvl w:ilvl="5">
      <w:numFmt w:val="decimal"/>
      <w:lvlText w:val=""/>
      <w:lvlJc w:val="left"/>
      <w:pPr>
        <w:ind w:left="709" w:firstLine="0"/>
      </w:pPr>
    </w:lvl>
    <w:lvl w:ilvl="6">
      <w:numFmt w:val="decimal"/>
      <w:lvlText w:val=""/>
      <w:lvlJc w:val="left"/>
      <w:pPr>
        <w:ind w:left="709" w:firstLine="0"/>
      </w:pPr>
    </w:lvl>
    <w:lvl w:ilvl="7">
      <w:numFmt w:val="decimal"/>
      <w:lvlText w:val=""/>
      <w:lvlJc w:val="left"/>
      <w:pPr>
        <w:ind w:left="709" w:firstLine="0"/>
      </w:pPr>
    </w:lvl>
    <w:lvl w:ilvl="8">
      <w:numFmt w:val="decimal"/>
      <w:lvlText w:val=""/>
      <w:lvlJc w:val="left"/>
      <w:pPr>
        <w:ind w:left="709" w:firstLine="0"/>
      </w:pPr>
    </w:lvl>
  </w:abstractNum>
  <w:abstractNum w:abstractNumId="6" w15:restartNumberingAfterBreak="0">
    <w:nsid w:val="441D4158"/>
    <w:multiLevelType w:val="multilevel"/>
    <w:tmpl w:val="F7CC03B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54614F50"/>
    <w:multiLevelType w:val="hybridMultilevel"/>
    <w:tmpl w:val="713A4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AB7D12"/>
    <w:multiLevelType w:val="hybridMultilevel"/>
    <w:tmpl w:val="040EE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963767"/>
    <w:multiLevelType w:val="hybridMultilevel"/>
    <w:tmpl w:val="4540063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60A60971"/>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66313CB1"/>
    <w:multiLevelType w:val="hybridMultilevel"/>
    <w:tmpl w:val="0962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513B44"/>
    <w:multiLevelType w:val="hybridMultilevel"/>
    <w:tmpl w:val="FF3C3C3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E04356"/>
    <w:multiLevelType w:val="hybridMultilevel"/>
    <w:tmpl w:val="3C2CCE7A"/>
    <w:lvl w:ilvl="0" w:tplc="680E5F66">
      <w:start w:val="2"/>
      <w:numFmt w:val="bullet"/>
      <w:lvlText w:val="-"/>
      <w:lvlJc w:val="left"/>
      <w:pPr>
        <w:ind w:left="1080" w:hanging="360"/>
      </w:pPr>
      <w:rPr>
        <w:rFonts w:ascii="Trebuchet MS" w:eastAsia="Calibri" w:hAnsi="Trebuchet MS"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7E5F5F82"/>
    <w:multiLevelType w:val="hybridMultilevel"/>
    <w:tmpl w:val="833AC4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14"/>
  </w:num>
  <w:num w:numId="4">
    <w:abstractNumId w:val="0"/>
  </w:num>
  <w:num w:numId="5">
    <w:abstractNumId w:val="9"/>
  </w:num>
  <w:num w:numId="6">
    <w:abstractNumId w:val="13"/>
  </w:num>
  <w:num w:numId="7">
    <w:abstractNumId w:val="11"/>
  </w:num>
  <w:num w:numId="8">
    <w:abstractNumId w:val="7"/>
  </w:num>
  <w:num w:numId="9">
    <w:abstractNumId w:val="8"/>
  </w:num>
  <w:num w:numId="10">
    <w:abstractNumId w:val="12"/>
  </w:num>
  <w:num w:numId="11">
    <w:abstractNumId w:val="3"/>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5"/>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70"/>
    <w:rsid w:val="00016B98"/>
    <w:rsid w:val="000B568F"/>
    <w:rsid w:val="000E4B7F"/>
    <w:rsid w:val="00161970"/>
    <w:rsid w:val="001E38BF"/>
    <w:rsid w:val="002B33EE"/>
    <w:rsid w:val="002F2D5E"/>
    <w:rsid w:val="002F5424"/>
    <w:rsid w:val="00306CF6"/>
    <w:rsid w:val="00307B65"/>
    <w:rsid w:val="003A5175"/>
    <w:rsid w:val="003D229A"/>
    <w:rsid w:val="00431A61"/>
    <w:rsid w:val="00557C0C"/>
    <w:rsid w:val="00664045"/>
    <w:rsid w:val="007C339D"/>
    <w:rsid w:val="00844B61"/>
    <w:rsid w:val="008A4332"/>
    <w:rsid w:val="00933C59"/>
    <w:rsid w:val="00984EEF"/>
    <w:rsid w:val="009B475A"/>
    <w:rsid w:val="009E348E"/>
    <w:rsid w:val="00A973E2"/>
    <w:rsid w:val="00AA3C2A"/>
    <w:rsid w:val="00B60FAC"/>
    <w:rsid w:val="00B62E0E"/>
    <w:rsid w:val="00C011CE"/>
    <w:rsid w:val="00D15FFA"/>
    <w:rsid w:val="00D25901"/>
    <w:rsid w:val="00D4171F"/>
    <w:rsid w:val="00DE5DD0"/>
    <w:rsid w:val="00EC1F67"/>
    <w:rsid w:val="00ED274D"/>
    <w:rsid w:val="00F35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56EBB"/>
  <w15:chartTrackingRefBased/>
  <w15:docId w15:val="{5881AA82-7039-4404-AA85-1726ED11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970"/>
    <w:pPr>
      <w:keepNext/>
      <w:suppressAutoHyphens/>
      <w:autoSpaceDN w:val="0"/>
      <w:spacing w:before="240" w:after="60" w:line="240" w:lineRule="auto"/>
      <w:textAlignment w:val="baseline"/>
      <w:outlineLvl w:val="0"/>
    </w:pPr>
    <w:rPr>
      <w:rFonts w:eastAsia="Times New Roman"/>
      <w:b/>
      <w:bCs/>
      <w:kern w:val="3"/>
      <w:sz w:val="32"/>
      <w:szCs w:val="32"/>
      <w:lang w:val="en-US"/>
    </w:rPr>
  </w:style>
  <w:style w:type="paragraph" w:styleId="Heading2">
    <w:name w:val="heading 2"/>
    <w:basedOn w:val="Normal"/>
    <w:next w:val="Normal"/>
    <w:link w:val="Heading2Char"/>
    <w:uiPriority w:val="9"/>
    <w:unhideWhenUsed/>
    <w:qFormat/>
    <w:rsid w:val="00161970"/>
    <w:pPr>
      <w:keepNext/>
      <w:suppressAutoHyphens/>
      <w:autoSpaceDN w:val="0"/>
      <w:spacing w:before="240" w:after="60" w:line="240" w:lineRule="auto"/>
      <w:textAlignment w:val="baseline"/>
      <w:outlineLvl w:val="1"/>
    </w:pPr>
    <w:rPr>
      <w:rFonts w:eastAsia="Times New Roman"/>
      <w:b/>
      <w:bCs/>
      <w:i/>
      <w:iCs/>
      <w:sz w:val="28"/>
      <w:szCs w:val="28"/>
      <w:lang w:val="en-US"/>
    </w:rPr>
  </w:style>
  <w:style w:type="paragraph" w:styleId="Heading3">
    <w:name w:val="heading 3"/>
    <w:basedOn w:val="Normal"/>
    <w:next w:val="Normal"/>
    <w:link w:val="Heading3Char"/>
    <w:uiPriority w:val="9"/>
    <w:unhideWhenUsed/>
    <w:qFormat/>
    <w:rsid w:val="00161970"/>
    <w:pPr>
      <w:keepNext/>
      <w:suppressAutoHyphens/>
      <w:autoSpaceDN w:val="0"/>
      <w:spacing w:before="240" w:after="60" w:line="240" w:lineRule="auto"/>
      <w:textAlignment w:val="baseline"/>
      <w:outlineLvl w:val="2"/>
    </w:pPr>
    <w:rPr>
      <w:rFonts w:eastAsia="Times New Roman"/>
      <w:b/>
      <w:bCs/>
      <w:sz w:val="26"/>
      <w:szCs w:val="26"/>
      <w:lang w:val="en-US"/>
    </w:rPr>
  </w:style>
  <w:style w:type="paragraph" w:styleId="Heading4">
    <w:name w:val="heading 4"/>
    <w:basedOn w:val="Normal"/>
    <w:link w:val="Heading4Char"/>
    <w:uiPriority w:val="9"/>
    <w:qFormat/>
    <w:rsid w:val="001E38B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970"/>
    <w:rPr>
      <w:rFonts w:eastAsia="Times New Roman"/>
      <w:b/>
      <w:bCs/>
      <w:kern w:val="3"/>
      <w:sz w:val="32"/>
      <w:szCs w:val="32"/>
      <w:lang w:val="en-US"/>
    </w:rPr>
  </w:style>
  <w:style w:type="character" w:customStyle="1" w:styleId="Heading2Char">
    <w:name w:val="Heading 2 Char"/>
    <w:basedOn w:val="DefaultParagraphFont"/>
    <w:link w:val="Heading2"/>
    <w:uiPriority w:val="9"/>
    <w:rsid w:val="00161970"/>
    <w:rPr>
      <w:rFonts w:eastAsia="Times New Roman"/>
      <w:b/>
      <w:bCs/>
      <w:i/>
      <w:iCs/>
      <w:sz w:val="28"/>
      <w:szCs w:val="28"/>
      <w:lang w:val="en-US"/>
    </w:rPr>
  </w:style>
  <w:style w:type="character" w:customStyle="1" w:styleId="Heading3Char">
    <w:name w:val="Heading 3 Char"/>
    <w:basedOn w:val="DefaultParagraphFont"/>
    <w:link w:val="Heading3"/>
    <w:uiPriority w:val="9"/>
    <w:rsid w:val="00161970"/>
    <w:rPr>
      <w:rFonts w:eastAsia="Times New Roman"/>
      <w:b/>
      <w:bCs/>
      <w:sz w:val="26"/>
      <w:szCs w:val="26"/>
      <w:lang w:val="en-US"/>
    </w:rPr>
  </w:style>
  <w:style w:type="paragraph" w:styleId="ListParagraph">
    <w:name w:val="List Paragraph"/>
    <w:basedOn w:val="Normal"/>
    <w:uiPriority w:val="34"/>
    <w:qFormat/>
    <w:rsid w:val="00161970"/>
    <w:pPr>
      <w:suppressAutoHyphens/>
      <w:autoSpaceDN w:val="0"/>
      <w:spacing w:after="0" w:line="240" w:lineRule="auto"/>
      <w:ind w:left="720"/>
      <w:textAlignment w:val="baseline"/>
    </w:pPr>
    <w:rPr>
      <w:rFonts w:eastAsia="Times New Roman" w:cs="Times New Roman"/>
      <w:lang w:val="en-US"/>
    </w:rPr>
  </w:style>
  <w:style w:type="paragraph" w:styleId="Header">
    <w:name w:val="header"/>
    <w:basedOn w:val="Normal"/>
    <w:link w:val="HeaderChar"/>
    <w:uiPriority w:val="99"/>
    <w:unhideWhenUsed/>
    <w:rsid w:val="00EC1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F67"/>
  </w:style>
  <w:style w:type="paragraph" w:styleId="Footer">
    <w:name w:val="footer"/>
    <w:basedOn w:val="Normal"/>
    <w:link w:val="FooterChar"/>
    <w:uiPriority w:val="99"/>
    <w:unhideWhenUsed/>
    <w:rsid w:val="00EC1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F67"/>
  </w:style>
  <w:style w:type="character" w:customStyle="1" w:styleId="Heading4Char">
    <w:name w:val="Heading 4 Char"/>
    <w:basedOn w:val="DefaultParagraphFont"/>
    <w:link w:val="Heading4"/>
    <w:uiPriority w:val="9"/>
    <w:rsid w:val="001E38BF"/>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1E38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E38BF"/>
  </w:style>
  <w:style w:type="character" w:styleId="Hyperlink">
    <w:name w:val="Hyperlink"/>
    <w:basedOn w:val="DefaultParagraphFont"/>
    <w:uiPriority w:val="99"/>
    <w:unhideWhenUsed/>
    <w:rsid w:val="001E38BF"/>
    <w:rPr>
      <w:color w:val="0000FF"/>
      <w:u w:val="single"/>
    </w:rPr>
  </w:style>
  <w:style w:type="character" w:styleId="FollowedHyperlink">
    <w:name w:val="FollowedHyperlink"/>
    <w:basedOn w:val="DefaultParagraphFont"/>
    <w:uiPriority w:val="99"/>
    <w:semiHidden/>
    <w:unhideWhenUsed/>
    <w:rsid w:val="001E38BF"/>
    <w:rPr>
      <w:color w:val="954F72" w:themeColor="followedHyperlink"/>
      <w:u w:val="single"/>
    </w:rPr>
  </w:style>
  <w:style w:type="paragraph" w:styleId="FootnoteText">
    <w:name w:val="footnote text"/>
    <w:basedOn w:val="Normal"/>
    <w:link w:val="FootnoteTextChar"/>
    <w:uiPriority w:val="99"/>
    <w:semiHidden/>
    <w:unhideWhenUsed/>
    <w:rsid w:val="001E38BF"/>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E38BF"/>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1E38BF"/>
    <w:rPr>
      <w:vertAlign w:val="superscript"/>
    </w:rPr>
  </w:style>
  <w:style w:type="paragraph" w:styleId="BalloonText">
    <w:name w:val="Balloon Text"/>
    <w:basedOn w:val="Normal"/>
    <w:link w:val="BalloonTextChar"/>
    <w:uiPriority w:val="99"/>
    <w:semiHidden/>
    <w:unhideWhenUsed/>
    <w:rsid w:val="001E38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8BF"/>
    <w:rPr>
      <w:rFonts w:ascii="Segoe UI" w:hAnsi="Segoe UI" w:cs="Segoe UI"/>
      <w:sz w:val="18"/>
      <w:szCs w:val="18"/>
    </w:rPr>
  </w:style>
  <w:style w:type="character" w:styleId="CommentReference">
    <w:name w:val="annotation reference"/>
    <w:basedOn w:val="DefaultParagraphFont"/>
    <w:uiPriority w:val="99"/>
    <w:semiHidden/>
    <w:unhideWhenUsed/>
    <w:rsid w:val="001E38BF"/>
    <w:rPr>
      <w:sz w:val="16"/>
      <w:szCs w:val="16"/>
    </w:rPr>
  </w:style>
  <w:style w:type="paragraph" w:styleId="CommentText">
    <w:name w:val="annotation text"/>
    <w:basedOn w:val="Normal"/>
    <w:link w:val="CommentTextChar"/>
    <w:uiPriority w:val="99"/>
    <w:unhideWhenUsed/>
    <w:rsid w:val="001E38BF"/>
    <w:pPr>
      <w:spacing w:after="20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1E38BF"/>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1E38BF"/>
    <w:rPr>
      <w:b/>
      <w:bCs/>
    </w:rPr>
  </w:style>
  <w:style w:type="character" w:customStyle="1" w:styleId="CommentSubjectChar">
    <w:name w:val="Comment Subject Char"/>
    <w:basedOn w:val="CommentTextChar"/>
    <w:link w:val="CommentSubject"/>
    <w:uiPriority w:val="99"/>
    <w:semiHidden/>
    <w:rsid w:val="001E38BF"/>
    <w:rPr>
      <w:rFonts w:asciiTheme="minorHAnsi" w:hAnsiTheme="minorHAnsi" w:cstheme="minorBidi"/>
      <w:b/>
      <w:bCs/>
      <w:sz w:val="20"/>
      <w:szCs w:val="20"/>
    </w:rPr>
  </w:style>
  <w:style w:type="character" w:styleId="Strong">
    <w:name w:val="Strong"/>
    <w:basedOn w:val="DefaultParagraphFont"/>
    <w:uiPriority w:val="22"/>
    <w:qFormat/>
    <w:rsid w:val="001E38BF"/>
    <w:rPr>
      <w:b/>
      <w:bCs/>
    </w:rPr>
  </w:style>
  <w:style w:type="character" w:styleId="Emphasis">
    <w:name w:val="Emphasis"/>
    <w:basedOn w:val="DefaultParagraphFont"/>
    <w:uiPriority w:val="20"/>
    <w:qFormat/>
    <w:rsid w:val="001E38BF"/>
    <w:rPr>
      <w:i/>
      <w:iCs/>
    </w:rPr>
  </w:style>
  <w:style w:type="table" w:styleId="TableGrid">
    <w:name w:val="Table Grid"/>
    <w:basedOn w:val="TableNormal"/>
    <w:uiPriority w:val="59"/>
    <w:rsid w:val="001E38BF"/>
    <w:pPr>
      <w:spacing w:after="0" w:line="240" w:lineRule="auto"/>
    </w:pPr>
    <w:rPr>
      <w:rFonts w:ascii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38B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Lawrence</dc:creator>
  <cp:keywords/>
  <dc:description/>
  <cp:lastModifiedBy>Maria Eid</cp:lastModifiedBy>
  <cp:revision>2</cp:revision>
  <cp:lastPrinted>2022-02-02T16:02:00Z</cp:lastPrinted>
  <dcterms:created xsi:type="dcterms:W3CDTF">2022-02-02T16:03:00Z</dcterms:created>
  <dcterms:modified xsi:type="dcterms:W3CDTF">2022-02-02T16:03:00Z</dcterms:modified>
</cp:coreProperties>
</file>